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4D" w:rsidRDefault="00345E4D" w:rsidP="00446C81">
      <w:pPr>
        <w:spacing w:line="312" w:lineRule="auto"/>
        <w:rPr>
          <w:rFonts w:ascii="Arial" w:hAnsi="Arial" w:cs="Arial"/>
          <w:sz w:val="24"/>
        </w:rPr>
      </w:pPr>
    </w:p>
    <w:p w:rsidR="00345E4D" w:rsidRPr="009A4159" w:rsidRDefault="00345E4D" w:rsidP="00446C81">
      <w:pPr>
        <w:spacing w:line="312" w:lineRule="auto"/>
        <w:rPr>
          <w:rFonts w:ascii="Arial" w:hAnsi="Arial" w:cs="Arial"/>
          <w:sz w:val="24"/>
        </w:rPr>
      </w:pPr>
      <w:r>
        <w:rPr>
          <w:rFonts w:ascii="Arial" w:hAnsi="Arial" w:cs="Arial"/>
          <w:sz w:val="24"/>
        </w:rPr>
        <w:t>5 December 2011</w:t>
      </w:r>
    </w:p>
    <w:p w:rsidR="00345E4D" w:rsidRPr="009A4159" w:rsidRDefault="00345E4D" w:rsidP="00446C81">
      <w:pPr>
        <w:spacing w:line="312" w:lineRule="auto"/>
        <w:rPr>
          <w:rFonts w:ascii="Arial" w:hAnsi="Arial" w:cs="Arial"/>
          <w:sz w:val="24"/>
        </w:rPr>
      </w:pPr>
    </w:p>
    <w:p w:rsidR="00345E4D" w:rsidRPr="009A4159" w:rsidRDefault="00345E4D" w:rsidP="00446C81">
      <w:pPr>
        <w:spacing w:line="312" w:lineRule="auto"/>
        <w:rPr>
          <w:rFonts w:ascii="Arial" w:hAnsi="Arial" w:cs="Arial"/>
          <w:sz w:val="24"/>
        </w:rPr>
      </w:pPr>
      <w:r w:rsidRPr="009A4159">
        <w:rPr>
          <w:rFonts w:ascii="Arial" w:hAnsi="Arial" w:cs="Arial"/>
          <w:sz w:val="24"/>
        </w:rPr>
        <w:t>Debt Collection Consultation</w:t>
      </w:r>
    </w:p>
    <w:p w:rsidR="00345E4D" w:rsidRPr="009A4159" w:rsidRDefault="00345E4D" w:rsidP="00446C81">
      <w:pPr>
        <w:spacing w:line="312" w:lineRule="auto"/>
        <w:rPr>
          <w:rFonts w:ascii="Arial" w:hAnsi="Arial" w:cs="Arial"/>
          <w:sz w:val="24"/>
        </w:rPr>
      </w:pPr>
      <w:r w:rsidRPr="009A4159">
        <w:rPr>
          <w:rFonts w:ascii="Arial" w:hAnsi="Arial" w:cs="Arial"/>
          <w:sz w:val="24"/>
        </w:rPr>
        <w:t>Consumer Affairs Victoria</w:t>
      </w:r>
    </w:p>
    <w:p w:rsidR="00345E4D" w:rsidRPr="009A4159" w:rsidRDefault="00345E4D" w:rsidP="00446C81">
      <w:pPr>
        <w:spacing w:line="312" w:lineRule="auto"/>
        <w:rPr>
          <w:rFonts w:ascii="Arial" w:hAnsi="Arial" w:cs="Arial"/>
          <w:sz w:val="24"/>
        </w:rPr>
      </w:pPr>
      <w:r w:rsidRPr="009A4159">
        <w:rPr>
          <w:rFonts w:ascii="Arial" w:hAnsi="Arial" w:cs="Arial"/>
          <w:sz w:val="24"/>
        </w:rPr>
        <w:t>Policy and Legislation Branch</w:t>
      </w:r>
    </w:p>
    <w:p w:rsidR="00345E4D" w:rsidRPr="009A4159" w:rsidRDefault="00345E4D" w:rsidP="00446C81">
      <w:pPr>
        <w:spacing w:line="312" w:lineRule="auto"/>
        <w:rPr>
          <w:rFonts w:ascii="Arial" w:hAnsi="Arial" w:cs="Arial"/>
          <w:sz w:val="24"/>
        </w:rPr>
      </w:pPr>
      <w:r w:rsidRPr="009A4159">
        <w:rPr>
          <w:rFonts w:ascii="Arial" w:hAnsi="Arial" w:cs="Arial"/>
          <w:sz w:val="24"/>
        </w:rPr>
        <w:t>GPO Box 123</w:t>
      </w:r>
    </w:p>
    <w:p w:rsidR="00345E4D" w:rsidRPr="009A4159" w:rsidRDefault="00345E4D" w:rsidP="00446C81">
      <w:pPr>
        <w:spacing w:line="312" w:lineRule="auto"/>
        <w:rPr>
          <w:rFonts w:ascii="Arial" w:hAnsi="Arial" w:cs="Arial"/>
          <w:sz w:val="24"/>
        </w:rPr>
      </w:pPr>
      <w:r w:rsidRPr="009A4159">
        <w:rPr>
          <w:rFonts w:ascii="Arial" w:hAnsi="Arial" w:cs="Arial"/>
          <w:sz w:val="24"/>
        </w:rPr>
        <w:t>Melbourne VIC 3001</w:t>
      </w:r>
    </w:p>
    <w:p w:rsidR="00345E4D" w:rsidRPr="009A4159" w:rsidRDefault="00345E4D" w:rsidP="00446C81">
      <w:pPr>
        <w:spacing w:line="312" w:lineRule="auto"/>
        <w:rPr>
          <w:rFonts w:ascii="Arial" w:hAnsi="Arial" w:cs="Arial"/>
          <w:sz w:val="24"/>
        </w:rPr>
      </w:pPr>
    </w:p>
    <w:p w:rsidR="00345E4D" w:rsidRPr="009A4159" w:rsidRDefault="00345E4D" w:rsidP="00446C81">
      <w:pPr>
        <w:spacing w:line="312" w:lineRule="auto"/>
        <w:rPr>
          <w:rFonts w:ascii="Arial" w:hAnsi="Arial" w:cs="Arial"/>
          <w:sz w:val="24"/>
        </w:rPr>
      </w:pPr>
      <w:r w:rsidRPr="009A4159">
        <w:rPr>
          <w:rFonts w:ascii="Arial" w:hAnsi="Arial" w:cs="Arial"/>
          <w:sz w:val="24"/>
        </w:rPr>
        <w:t xml:space="preserve">By email: </w:t>
      </w:r>
      <w:r w:rsidRPr="009A4159">
        <w:rPr>
          <w:rFonts w:ascii="Arial" w:hAnsi="Arial" w:cs="Arial"/>
          <w:sz w:val="24"/>
        </w:rPr>
        <w:tab/>
      </w:r>
      <w:hyperlink r:id="rId7" w:history="1">
        <w:r w:rsidRPr="009A4159">
          <w:rPr>
            <w:rStyle w:val="Hyperlink"/>
            <w:rFonts w:ascii="Arial" w:hAnsi="Arial" w:cs="Arial"/>
            <w:sz w:val="24"/>
          </w:rPr>
          <w:t>debt.collection@justice.vic.gov.au</w:t>
        </w:r>
      </w:hyperlink>
    </w:p>
    <w:p w:rsidR="00345E4D" w:rsidRPr="009A4159" w:rsidRDefault="00345E4D" w:rsidP="00446C81">
      <w:pPr>
        <w:spacing w:line="312" w:lineRule="auto"/>
        <w:rPr>
          <w:rFonts w:ascii="Arial" w:hAnsi="Arial" w:cs="Arial"/>
          <w:sz w:val="24"/>
        </w:rPr>
      </w:pPr>
    </w:p>
    <w:p w:rsidR="00345E4D" w:rsidRPr="009A4159" w:rsidRDefault="00345E4D" w:rsidP="00446C81">
      <w:pPr>
        <w:spacing w:line="312" w:lineRule="auto"/>
        <w:rPr>
          <w:rFonts w:ascii="Arial" w:hAnsi="Arial" w:cs="Arial"/>
          <w:sz w:val="24"/>
        </w:rPr>
      </w:pPr>
      <w:r w:rsidRPr="009A4159">
        <w:rPr>
          <w:rFonts w:ascii="Arial" w:hAnsi="Arial" w:cs="Arial"/>
          <w:sz w:val="24"/>
        </w:rPr>
        <w:t>Dear Sir</w:t>
      </w:r>
      <w:r>
        <w:rPr>
          <w:rFonts w:ascii="Arial" w:hAnsi="Arial" w:cs="Arial"/>
          <w:sz w:val="24"/>
        </w:rPr>
        <w:t>s,</w:t>
      </w:r>
    </w:p>
    <w:p w:rsidR="00345E4D" w:rsidRPr="009A4159" w:rsidRDefault="00345E4D" w:rsidP="00446C81">
      <w:pPr>
        <w:spacing w:line="312" w:lineRule="auto"/>
        <w:rPr>
          <w:rFonts w:ascii="Arial" w:hAnsi="Arial" w:cs="Arial"/>
          <w:sz w:val="24"/>
        </w:rPr>
      </w:pPr>
    </w:p>
    <w:p w:rsidR="00345E4D" w:rsidRPr="009A4159" w:rsidRDefault="00345E4D" w:rsidP="00446C81">
      <w:pPr>
        <w:spacing w:line="312" w:lineRule="auto"/>
        <w:rPr>
          <w:rFonts w:ascii="Arial" w:hAnsi="Arial" w:cs="Arial"/>
          <w:b/>
          <w:sz w:val="24"/>
        </w:rPr>
      </w:pPr>
      <w:r w:rsidRPr="009A4159">
        <w:rPr>
          <w:rFonts w:ascii="Arial" w:hAnsi="Arial" w:cs="Arial"/>
          <w:b/>
          <w:sz w:val="24"/>
        </w:rPr>
        <w:t>Consultation – Debt Collection Harmonisation Regulation</w:t>
      </w:r>
    </w:p>
    <w:p w:rsidR="00345E4D" w:rsidRPr="009A4159" w:rsidRDefault="00345E4D" w:rsidP="00446C81">
      <w:pPr>
        <w:spacing w:line="312" w:lineRule="auto"/>
        <w:rPr>
          <w:rFonts w:ascii="Arial" w:hAnsi="Arial" w:cs="Arial"/>
          <w:b/>
          <w:sz w:val="24"/>
        </w:rPr>
      </w:pPr>
    </w:p>
    <w:p w:rsidR="00345E4D" w:rsidRPr="009A4159" w:rsidRDefault="00345E4D" w:rsidP="00446C81">
      <w:pPr>
        <w:spacing w:line="312" w:lineRule="auto"/>
        <w:rPr>
          <w:rFonts w:ascii="Arial" w:hAnsi="Arial" w:cs="Arial"/>
          <w:sz w:val="24"/>
        </w:rPr>
      </w:pPr>
      <w:r w:rsidRPr="009A4159">
        <w:rPr>
          <w:rFonts w:ascii="Arial" w:hAnsi="Arial" w:cs="Arial"/>
          <w:sz w:val="24"/>
        </w:rPr>
        <w:t>The Australian Collectors and Debt Buyers Association (ACDBA) represent the interests of the main debt collection agencies in Australia. Our members include both those who collect contingent debts and debt purchasers.</w:t>
      </w:r>
    </w:p>
    <w:p w:rsidR="00345E4D" w:rsidRPr="009A4159" w:rsidRDefault="00345E4D" w:rsidP="00446C81">
      <w:pPr>
        <w:spacing w:line="312" w:lineRule="auto"/>
        <w:rPr>
          <w:rFonts w:ascii="Arial" w:hAnsi="Arial" w:cs="Arial"/>
          <w:sz w:val="24"/>
        </w:rPr>
      </w:pPr>
    </w:p>
    <w:p w:rsidR="00345E4D" w:rsidRPr="009A4159" w:rsidRDefault="00345E4D" w:rsidP="00446C81">
      <w:pPr>
        <w:spacing w:line="312" w:lineRule="auto"/>
        <w:rPr>
          <w:rFonts w:ascii="Arial" w:hAnsi="Arial" w:cs="Arial"/>
          <w:sz w:val="24"/>
        </w:rPr>
      </w:pPr>
      <w:r w:rsidRPr="009A4159">
        <w:rPr>
          <w:rFonts w:ascii="Arial" w:hAnsi="Arial" w:cs="Arial"/>
          <w:sz w:val="24"/>
        </w:rPr>
        <w:t>We welcome the Debt Collection Harmonisation Regulation Review (</w:t>
      </w:r>
      <w:r>
        <w:rPr>
          <w:rFonts w:ascii="Arial" w:hAnsi="Arial" w:cs="Arial"/>
          <w:sz w:val="24"/>
        </w:rPr>
        <w:t>t</w:t>
      </w:r>
      <w:r w:rsidRPr="009A4159">
        <w:rPr>
          <w:rFonts w:ascii="Arial" w:hAnsi="Arial" w:cs="Arial"/>
          <w:sz w:val="24"/>
        </w:rPr>
        <w:t>he Review) and the opportunity to provide our views on an appropriate regulatory environment for the debt collection and debt purchase industries.</w:t>
      </w:r>
    </w:p>
    <w:p w:rsidR="00345E4D" w:rsidRPr="009A4159" w:rsidRDefault="00345E4D" w:rsidP="00446C81">
      <w:pPr>
        <w:spacing w:line="312" w:lineRule="auto"/>
        <w:rPr>
          <w:rFonts w:ascii="Arial" w:hAnsi="Arial" w:cs="Arial"/>
          <w:sz w:val="24"/>
        </w:rPr>
      </w:pPr>
    </w:p>
    <w:p w:rsidR="00345E4D" w:rsidRDefault="00345E4D" w:rsidP="00446C81">
      <w:pPr>
        <w:spacing w:line="312" w:lineRule="auto"/>
        <w:rPr>
          <w:rFonts w:ascii="Arial" w:hAnsi="Arial" w:cs="Arial"/>
          <w:sz w:val="24"/>
        </w:rPr>
      </w:pPr>
      <w:r>
        <w:rPr>
          <w:rFonts w:ascii="Arial" w:hAnsi="Arial" w:cs="Arial"/>
          <w:sz w:val="24"/>
        </w:rPr>
        <w:t xml:space="preserve">Our Association seeks a regulatory outcome that recognises the maturity of the debt collection industry, its broad legislative framework, the contractual arrangements between principals and their collections agents, </w:t>
      </w:r>
      <w:r w:rsidRPr="00A34375">
        <w:rPr>
          <w:rFonts w:ascii="Arial" w:hAnsi="Arial" w:cs="Arial"/>
          <w:sz w:val="24"/>
        </w:rPr>
        <w:t xml:space="preserve">the </w:t>
      </w:r>
      <w:r>
        <w:rPr>
          <w:rFonts w:ascii="Arial" w:hAnsi="Arial" w:cs="Arial"/>
          <w:sz w:val="24"/>
        </w:rPr>
        <w:t xml:space="preserve">relatively </w:t>
      </w:r>
      <w:r w:rsidRPr="00A34375">
        <w:rPr>
          <w:rFonts w:ascii="Arial" w:hAnsi="Arial" w:cs="Arial"/>
          <w:sz w:val="24"/>
        </w:rPr>
        <w:t>small number of people engaged in the area</w:t>
      </w:r>
      <w:r>
        <w:rPr>
          <w:rFonts w:ascii="Arial" w:hAnsi="Arial" w:cs="Arial"/>
          <w:sz w:val="24"/>
        </w:rPr>
        <w:t xml:space="preserve"> and our voluntary compliance with the ASIC/ACCC Debt Collection Guidelines</w:t>
      </w:r>
      <w:r w:rsidRPr="009A4159">
        <w:rPr>
          <w:rFonts w:ascii="Arial" w:hAnsi="Arial" w:cs="Arial"/>
          <w:sz w:val="24"/>
        </w:rPr>
        <w:t>.</w:t>
      </w:r>
      <w:r>
        <w:rPr>
          <w:rFonts w:ascii="Arial" w:hAnsi="Arial" w:cs="Arial"/>
          <w:sz w:val="24"/>
        </w:rPr>
        <w:t xml:space="preserve">  </w:t>
      </w:r>
    </w:p>
    <w:p w:rsidR="00345E4D" w:rsidRDefault="00345E4D" w:rsidP="00446C81">
      <w:pPr>
        <w:spacing w:line="312" w:lineRule="auto"/>
        <w:rPr>
          <w:rFonts w:ascii="Arial" w:hAnsi="Arial" w:cs="Arial"/>
          <w:sz w:val="24"/>
        </w:rPr>
      </w:pPr>
    </w:p>
    <w:p w:rsidR="00345E4D" w:rsidRPr="00BD03E4" w:rsidRDefault="00345E4D" w:rsidP="00446C81">
      <w:pPr>
        <w:spacing w:line="312" w:lineRule="auto"/>
        <w:rPr>
          <w:rFonts w:ascii="Arial" w:hAnsi="Arial" w:cs="Arial"/>
          <w:sz w:val="24"/>
        </w:rPr>
      </w:pPr>
      <w:r w:rsidRPr="00BD03E4">
        <w:rPr>
          <w:rFonts w:ascii="Arial" w:hAnsi="Arial" w:cs="Arial"/>
          <w:sz w:val="24"/>
        </w:rPr>
        <w:t xml:space="preserve">Consequently, we support Option 4 which is the approach taken by Consumer Affairs Victoria to move to a negative licensing regime.  This approach is justified given there is no substantive evidence of consumer detriment, the existing national regulatory regimes that govern market practices and consumer protection and the industry’s adherence to the ASIC/ACCC Debt Collection Guidelines.   </w:t>
      </w:r>
    </w:p>
    <w:p w:rsidR="00345E4D" w:rsidRPr="009A4159" w:rsidRDefault="00345E4D" w:rsidP="00446C81">
      <w:pPr>
        <w:spacing w:line="312" w:lineRule="auto"/>
        <w:rPr>
          <w:rFonts w:ascii="Arial" w:hAnsi="Arial" w:cs="Arial"/>
          <w:sz w:val="24"/>
        </w:rPr>
      </w:pPr>
    </w:p>
    <w:p w:rsidR="00345E4D" w:rsidRDefault="00345E4D" w:rsidP="00446C81">
      <w:pPr>
        <w:spacing w:line="312" w:lineRule="auto"/>
        <w:rPr>
          <w:rFonts w:ascii="Arial" w:hAnsi="Arial" w:cs="Arial"/>
          <w:sz w:val="24"/>
        </w:rPr>
      </w:pPr>
      <w:r w:rsidRPr="009A4159">
        <w:rPr>
          <w:rFonts w:ascii="Arial" w:hAnsi="Arial" w:cs="Arial"/>
          <w:sz w:val="24"/>
        </w:rPr>
        <w:t>Please find attached our submissio</w:t>
      </w:r>
      <w:r>
        <w:rPr>
          <w:rFonts w:ascii="Arial" w:hAnsi="Arial" w:cs="Arial"/>
          <w:sz w:val="24"/>
        </w:rPr>
        <w:t xml:space="preserve">n addressing our preferred position based on the </w:t>
      </w:r>
      <w:r w:rsidRPr="009A4159">
        <w:rPr>
          <w:rFonts w:ascii="Arial" w:hAnsi="Arial" w:cs="Arial"/>
          <w:sz w:val="24"/>
        </w:rPr>
        <w:t>Options Paper.</w:t>
      </w:r>
      <w:r w:rsidRPr="00446C81">
        <w:rPr>
          <w:rFonts w:ascii="Arial" w:hAnsi="Arial" w:cs="Arial"/>
          <w:sz w:val="24"/>
        </w:rPr>
        <w:t xml:space="preserve"> </w:t>
      </w:r>
    </w:p>
    <w:p w:rsidR="00345E4D" w:rsidRDefault="00345E4D" w:rsidP="00446C81">
      <w:pPr>
        <w:spacing w:line="312" w:lineRule="auto"/>
        <w:rPr>
          <w:rFonts w:ascii="Arial" w:hAnsi="Arial" w:cs="Arial"/>
          <w:sz w:val="24"/>
        </w:rPr>
      </w:pPr>
    </w:p>
    <w:p w:rsidR="00345E4D" w:rsidRPr="009A4159" w:rsidRDefault="00345E4D" w:rsidP="00446C81">
      <w:pPr>
        <w:spacing w:line="312" w:lineRule="auto"/>
        <w:rPr>
          <w:rFonts w:ascii="Arial" w:hAnsi="Arial" w:cs="Arial"/>
          <w:sz w:val="24"/>
        </w:rPr>
      </w:pPr>
      <w:r w:rsidRPr="00BD03E4">
        <w:rPr>
          <w:rFonts w:ascii="Arial" w:hAnsi="Arial" w:cs="Arial"/>
          <w:sz w:val="24"/>
        </w:rPr>
        <w:t>We look forward to working with Consumer Affairs Victoria and all other stakeholders engaged in the Review project to achieve this sensible outcome</w:t>
      </w:r>
      <w:r>
        <w:rPr>
          <w:rFonts w:ascii="Arial" w:hAnsi="Arial" w:cs="Arial"/>
          <w:sz w:val="24"/>
        </w:rPr>
        <w:t xml:space="preserve"> - to this purpose we confirm ACDBA would be pleased to host in the first quarter of 2012 with CAV a forum of stakeholders on implementing effective harmonisation of the industry. </w:t>
      </w:r>
    </w:p>
    <w:p w:rsidR="00345E4D" w:rsidRPr="009A4159" w:rsidRDefault="00345E4D" w:rsidP="00446C81">
      <w:pPr>
        <w:spacing w:line="312" w:lineRule="auto"/>
        <w:rPr>
          <w:rFonts w:ascii="Arial" w:hAnsi="Arial" w:cs="Arial"/>
          <w:sz w:val="24"/>
        </w:rPr>
      </w:pPr>
    </w:p>
    <w:p w:rsidR="00345E4D" w:rsidRPr="009A4159" w:rsidRDefault="00345E4D" w:rsidP="00446C81">
      <w:pPr>
        <w:spacing w:line="312" w:lineRule="auto"/>
        <w:rPr>
          <w:rFonts w:ascii="Arial" w:hAnsi="Arial" w:cs="Arial"/>
          <w:sz w:val="24"/>
        </w:rPr>
      </w:pPr>
      <w:r w:rsidRPr="009A4159">
        <w:rPr>
          <w:rFonts w:ascii="Arial" w:hAnsi="Arial" w:cs="Arial"/>
          <w:sz w:val="24"/>
        </w:rPr>
        <w:t>Yours faithfully</w:t>
      </w:r>
    </w:p>
    <w:p w:rsidR="00345E4D" w:rsidRPr="009A4159" w:rsidRDefault="00345E4D" w:rsidP="00446C81">
      <w:pPr>
        <w:spacing w:line="312" w:lineRule="auto"/>
        <w:rPr>
          <w:rFonts w:ascii="Arial" w:hAnsi="Arial" w:cs="Arial"/>
          <w:sz w:val="24"/>
        </w:rPr>
      </w:pPr>
      <w:r w:rsidRPr="00DF0CFF">
        <w:rPr>
          <w:rFonts w:ascii="Arial" w:hAnsi="Arial" w:cs="Aria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KHarries.tif" style="width:67.5pt;height:60pt;visibility:visible">
            <v:imagedata r:id="rId8" o:title=""/>
          </v:shape>
        </w:pict>
      </w:r>
    </w:p>
    <w:p w:rsidR="00345E4D" w:rsidRPr="009A4159" w:rsidRDefault="00345E4D" w:rsidP="00446C81">
      <w:pPr>
        <w:spacing w:line="312" w:lineRule="auto"/>
        <w:rPr>
          <w:rFonts w:ascii="Arial" w:hAnsi="Arial" w:cs="Arial"/>
          <w:sz w:val="24"/>
        </w:rPr>
      </w:pPr>
      <w:r w:rsidRPr="009A4159">
        <w:rPr>
          <w:rFonts w:ascii="Arial" w:hAnsi="Arial" w:cs="Arial"/>
          <w:sz w:val="24"/>
        </w:rPr>
        <w:t>Alan Harries</w:t>
      </w:r>
    </w:p>
    <w:p w:rsidR="00345E4D" w:rsidRPr="009A4159" w:rsidRDefault="00345E4D" w:rsidP="00446C81">
      <w:pPr>
        <w:spacing w:line="312" w:lineRule="auto"/>
        <w:rPr>
          <w:rFonts w:ascii="Arial" w:hAnsi="Arial" w:cs="Arial"/>
          <w:sz w:val="24"/>
          <w:u w:val="single"/>
        </w:rPr>
      </w:pPr>
      <w:r w:rsidRPr="009A4159">
        <w:rPr>
          <w:rFonts w:ascii="Arial" w:hAnsi="Arial" w:cs="Arial"/>
          <w:sz w:val="24"/>
          <w:u w:val="single"/>
        </w:rPr>
        <w:t>CEO</w:t>
      </w:r>
    </w:p>
    <w:p w:rsidR="00345E4D" w:rsidRDefault="00345E4D">
      <w:pPr>
        <w:jc w:val="left"/>
        <w:rPr>
          <w:rFonts w:ascii="Arial" w:hAnsi="Arial" w:cs="Arial"/>
        </w:rPr>
      </w:pPr>
      <w:r>
        <w:rPr>
          <w:rFonts w:ascii="Arial" w:hAnsi="Arial" w:cs="Arial"/>
        </w:rPr>
        <w:br w:type="page"/>
      </w:r>
    </w:p>
    <w:p w:rsidR="00345E4D" w:rsidRPr="00721EBD" w:rsidRDefault="00345E4D" w:rsidP="002828E9">
      <w:pPr>
        <w:pStyle w:val="TOCHeading"/>
        <w:rPr>
          <w:rStyle w:val="TitleChar"/>
        </w:rPr>
      </w:pPr>
      <w:r w:rsidRPr="00721EBD">
        <w:rPr>
          <w:rStyle w:val="TitleChar"/>
        </w:rPr>
        <w:t>Table of Contents</w:t>
      </w:r>
    </w:p>
    <w:p w:rsidR="00345E4D" w:rsidRDefault="00345E4D">
      <w:pPr>
        <w:pStyle w:val="TOC1"/>
        <w:tabs>
          <w:tab w:val="right" w:leader="dot" w:pos="10194"/>
        </w:tabs>
      </w:pPr>
    </w:p>
    <w:p w:rsidR="00345E4D" w:rsidRPr="00481670" w:rsidRDefault="00345E4D">
      <w:pPr>
        <w:pStyle w:val="TOC1"/>
        <w:tabs>
          <w:tab w:val="right" w:leader="dot" w:pos="10194"/>
        </w:tabs>
        <w:rPr>
          <w:rFonts w:eastAsia="Gulim" w:cs="Times New Roman"/>
          <w:noProof/>
          <w:color w:val="auto"/>
          <w:sz w:val="22"/>
          <w:szCs w:val="22"/>
          <w:lang w:val="en-AU" w:eastAsia="en-AU"/>
        </w:rPr>
      </w:pPr>
      <w:r w:rsidRPr="00432BB5">
        <w:rPr>
          <w:color w:val="auto"/>
        </w:rPr>
        <w:fldChar w:fldCharType="begin"/>
      </w:r>
      <w:r w:rsidRPr="00432BB5">
        <w:rPr>
          <w:color w:val="auto"/>
        </w:rPr>
        <w:instrText xml:space="preserve"> TOC \o "1-3" \h \z \u </w:instrText>
      </w:r>
      <w:r w:rsidRPr="00432BB5">
        <w:rPr>
          <w:color w:val="auto"/>
        </w:rPr>
        <w:fldChar w:fldCharType="separate"/>
      </w:r>
      <w:hyperlink w:anchor="_Toc310510812" w:history="1">
        <w:r w:rsidRPr="00481670">
          <w:rPr>
            <w:rStyle w:val="Hyperlink"/>
            <w:rFonts w:cs="Arial"/>
            <w:noProof/>
            <w:color w:val="auto"/>
          </w:rPr>
          <w:t>Executive Summary</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_Toc310510812 \h </w:instrText>
        </w:r>
        <w:r w:rsidRPr="00524CD1">
          <w:rPr>
            <w:noProof/>
            <w:color w:val="auto"/>
          </w:rPr>
        </w:r>
        <w:r w:rsidRPr="00481670">
          <w:rPr>
            <w:noProof/>
            <w:webHidden/>
            <w:color w:val="auto"/>
          </w:rPr>
          <w:fldChar w:fldCharType="separate"/>
        </w:r>
        <w:r>
          <w:rPr>
            <w:noProof/>
            <w:webHidden/>
            <w:color w:val="auto"/>
          </w:rPr>
          <w:t>5</w:t>
        </w:r>
        <w:r w:rsidRPr="00481670">
          <w:rPr>
            <w:noProof/>
            <w:webHidden/>
            <w:color w:val="auto"/>
          </w:rPr>
          <w:fldChar w:fldCharType="end"/>
        </w:r>
      </w:hyperlink>
    </w:p>
    <w:p w:rsidR="00345E4D" w:rsidRPr="00481670" w:rsidRDefault="00345E4D">
      <w:pPr>
        <w:pStyle w:val="TOC1"/>
        <w:tabs>
          <w:tab w:val="right" w:leader="dot" w:pos="10194"/>
        </w:tabs>
        <w:rPr>
          <w:rFonts w:eastAsia="Gulim" w:cs="Times New Roman"/>
          <w:noProof/>
          <w:color w:val="auto"/>
          <w:sz w:val="22"/>
          <w:szCs w:val="22"/>
          <w:lang w:val="en-AU" w:eastAsia="en-AU"/>
        </w:rPr>
      </w:pPr>
      <w:hyperlink w:anchor="_Toc310510813" w:history="1">
        <w:r w:rsidRPr="00481670">
          <w:rPr>
            <w:rStyle w:val="Hyperlink"/>
            <w:rFonts w:cs="Arial"/>
            <w:noProof/>
            <w:color w:val="auto"/>
          </w:rPr>
          <w:t>Background</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_Toc310510813 \h </w:instrText>
        </w:r>
        <w:r w:rsidRPr="00524CD1">
          <w:rPr>
            <w:noProof/>
            <w:color w:val="auto"/>
          </w:rPr>
        </w:r>
        <w:r w:rsidRPr="00481670">
          <w:rPr>
            <w:noProof/>
            <w:webHidden/>
            <w:color w:val="auto"/>
          </w:rPr>
          <w:fldChar w:fldCharType="separate"/>
        </w:r>
        <w:r>
          <w:rPr>
            <w:noProof/>
            <w:webHidden/>
            <w:color w:val="auto"/>
          </w:rPr>
          <w:t>7</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14" w:history="1">
        <w:r w:rsidRPr="00481670">
          <w:rPr>
            <w:rStyle w:val="Hyperlink"/>
            <w:rFonts w:cs="Arial"/>
            <w:noProof/>
            <w:color w:val="auto"/>
          </w:rPr>
          <w:t>Collections/Field Agent Distinction</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_Toc310510814 \h </w:instrText>
        </w:r>
        <w:r w:rsidRPr="00524CD1">
          <w:rPr>
            <w:noProof/>
            <w:color w:val="auto"/>
          </w:rPr>
        </w:r>
        <w:r w:rsidRPr="00481670">
          <w:rPr>
            <w:noProof/>
            <w:webHidden/>
            <w:color w:val="auto"/>
          </w:rPr>
          <w:fldChar w:fldCharType="separate"/>
        </w:r>
        <w:r>
          <w:rPr>
            <w:noProof/>
            <w:webHidden/>
            <w:color w:val="auto"/>
          </w:rPr>
          <w:t>7</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15" w:history="1">
        <w:r w:rsidRPr="00481670">
          <w:rPr>
            <w:rStyle w:val="Hyperlink"/>
            <w:rFonts w:cs="Arial"/>
            <w:noProof/>
            <w:color w:val="auto"/>
          </w:rPr>
          <w:t>Collections Sector Profile</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_Toc310510815 \h </w:instrText>
        </w:r>
        <w:r w:rsidRPr="00524CD1">
          <w:rPr>
            <w:noProof/>
            <w:color w:val="auto"/>
          </w:rPr>
        </w:r>
        <w:r w:rsidRPr="00481670">
          <w:rPr>
            <w:noProof/>
            <w:webHidden/>
            <w:color w:val="auto"/>
          </w:rPr>
          <w:fldChar w:fldCharType="separate"/>
        </w:r>
        <w:r>
          <w:rPr>
            <w:noProof/>
            <w:webHidden/>
            <w:color w:val="auto"/>
          </w:rPr>
          <w:t>8</w:t>
        </w:r>
        <w:r w:rsidRPr="00481670">
          <w:rPr>
            <w:noProof/>
            <w:webHidden/>
            <w:color w:val="auto"/>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16" w:history="1">
        <w:r w:rsidRPr="00481670">
          <w:rPr>
            <w:rStyle w:val="Hyperlink"/>
            <w:noProof/>
            <w:color w:val="auto"/>
          </w:rPr>
          <w:t>Sector Demographics</w:t>
        </w:r>
        <w:r w:rsidRPr="00481670">
          <w:rPr>
            <w:noProof/>
            <w:webHidden/>
          </w:rPr>
          <w:tab/>
        </w:r>
        <w:r w:rsidRPr="00481670">
          <w:rPr>
            <w:noProof/>
            <w:webHidden/>
          </w:rPr>
          <w:fldChar w:fldCharType="begin"/>
        </w:r>
        <w:r w:rsidRPr="00481670">
          <w:rPr>
            <w:noProof/>
            <w:webHidden/>
          </w:rPr>
          <w:instrText xml:space="preserve"> PAGEREF _Toc310510816 \h </w:instrText>
        </w:r>
        <w:r>
          <w:rPr>
            <w:noProof/>
          </w:rPr>
        </w:r>
        <w:r w:rsidRPr="00481670">
          <w:rPr>
            <w:noProof/>
            <w:webHidden/>
          </w:rPr>
          <w:fldChar w:fldCharType="separate"/>
        </w:r>
        <w:r>
          <w:rPr>
            <w:noProof/>
            <w:webHidden/>
          </w:rPr>
          <w:t>8</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17" w:history="1">
        <w:r w:rsidRPr="00481670">
          <w:rPr>
            <w:rStyle w:val="Hyperlink"/>
            <w:noProof/>
            <w:color w:val="auto"/>
          </w:rPr>
          <w:t>Corporatisation</w:t>
        </w:r>
        <w:r w:rsidRPr="00481670">
          <w:rPr>
            <w:noProof/>
            <w:webHidden/>
          </w:rPr>
          <w:tab/>
        </w:r>
        <w:r w:rsidRPr="00481670">
          <w:rPr>
            <w:noProof/>
            <w:webHidden/>
          </w:rPr>
          <w:fldChar w:fldCharType="begin"/>
        </w:r>
        <w:r w:rsidRPr="00481670">
          <w:rPr>
            <w:noProof/>
            <w:webHidden/>
          </w:rPr>
          <w:instrText xml:space="preserve"> PAGEREF _Toc310510817 \h </w:instrText>
        </w:r>
        <w:r>
          <w:rPr>
            <w:noProof/>
          </w:rPr>
        </w:r>
        <w:r w:rsidRPr="00481670">
          <w:rPr>
            <w:noProof/>
            <w:webHidden/>
          </w:rPr>
          <w:fldChar w:fldCharType="separate"/>
        </w:r>
        <w:r>
          <w:rPr>
            <w:noProof/>
            <w:webHidden/>
          </w:rPr>
          <w:t>8</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18" w:history="1">
        <w:r w:rsidRPr="00481670">
          <w:rPr>
            <w:rStyle w:val="Hyperlink"/>
            <w:noProof/>
            <w:color w:val="auto"/>
          </w:rPr>
          <w:t>Commercial Relationships</w:t>
        </w:r>
        <w:r w:rsidRPr="00481670">
          <w:rPr>
            <w:noProof/>
            <w:webHidden/>
          </w:rPr>
          <w:tab/>
        </w:r>
        <w:r w:rsidRPr="00481670">
          <w:rPr>
            <w:noProof/>
            <w:webHidden/>
          </w:rPr>
          <w:fldChar w:fldCharType="begin"/>
        </w:r>
        <w:r w:rsidRPr="00481670">
          <w:rPr>
            <w:noProof/>
            <w:webHidden/>
          </w:rPr>
          <w:instrText xml:space="preserve"> PAGEREF _Toc310510818 \h </w:instrText>
        </w:r>
        <w:r>
          <w:rPr>
            <w:noProof/>
          </w:rPr>
        </w:r>
        <w:r w:rsidRPr="00481670">
          <w:rPr>
            <w:noProof/>
            <w:webHidden/>
          </w:rPr>
          <w:fldChar w:fldCharType="separate"/>
        </w:r>
        <w:r>
          <w:rPr>
            <w:noProof/>
            <w:webHidden/>
          </w:rPr>
          <w:t>9</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19" w:history="1">
        <w:r w:rsidRPr="00481670">
          <w:rPr>
            <w:rStyle w:val="Hyperlink"/>
            <w:noProof/>
            <w:color w:val="auto"/>
          </w:rPr>
          <w:t>Technology</w:t>
        </w:r>
        <w:r w:rsidRPr="00481670">
          <w:rPr>
            <w:noProof/>
            <w:webHidden/>
          </w:rPr>
          <w:tab/>
        </w:r>
        <w:r w:rsidRPr="00481670">
          <w:rPr>
            <w:noProof/>
            <w:webHidden/>
          </w:rPr>
          <w:fldChar w:fldCharType="begin"/>
        </w:r>
        <w:r w:rsidRPr="00481670">
          <w:rPr>
            <w:noProof/>
            <w:webHidden/>
          </w:rPr>
          <w:instrText xml:space="preserve"> PAGEREF _Toc310510819 \h </w:instrText>
        </w:r>
        <w:r>
          <w:rPr>
            <w:noProof/>
          </w:rPr>
        </w:r>
        <w:r w:rsidRPr="00481670">
          <w:rPr>
            <w:noProof/>
            <w:webHidden/>
          </w:rPr>
          <w:fldChar w:fldCharType="separate"/>
        </w:r>
        <w:r>
          <w:rPr>
            <w:noProof/>
            <w:webHidden/>
          </w:rPr>
          <w:t>9</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20" w:history="1">
        <w:r w:rsidRPr="00481670">
          <w:rPr>
            <w:rStyle w:val="Hyperlink"/>
            <w:noProof/>
            <w:color w:val="auto"/>
          </w:rPr>
          <w:t>Regulatory Environment</w:t>
        </w:r>
        <w:r w:rsidRPr="00481670">
          <w:rPr>
            <w:noProof/>
            <w:webHidden/>
          </w:rPr>
          <w:tab/>
        </w:r>
        <w:r w:rsidRPr="00481670">
          <w:rPr>
            <w:noProof/>
            <w:webHidden/>
          </w:rPr>
          <w:fldChar w:fldCharType="begin"/>
        </w:r>
        <w:r w:rsidRPr="00481670">
          <w:rPr>
            <w:noProof/>
            <w:webHidden/>
          </w:rPr>
          <w:instrText xml:space="preserve"> PAGEREF _Toc310510820 \h </w:instrText>
        </w:r>
        <w:r>
          <w:rPr>
            <w:noProof/>
          </w:rPr>
        </w:r>
        <w:r w:rsidRPr="00481670">
          <w:rPr>
            <w:noProof/>
            <w:webHidden/>
          </w:rPr>
          <w:fldChar w:fldCharType="separate"/>
        </w:r>
        <w:r>
          <w:rPr>
            <w:noProof/>
            <w:webHidden/>
          </w:rPr>
          <w:t>9</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21" w:history="1">
        <w:r w:rsidRPr="00481670">
          <w:rPr>
            <w:rStyle w:val="Hyperlink"/>
            <w:noProof/>
            <w:color w:val="auto"/>
          </w:rPr>
          <w:t>Complaints/Incidents Data</w:t>
        </w:r>
        <w:r w:rsidRPr="00481670">
          <w:rPr>
            <w:noProof/>
            <w:webHidden/>
          </w:rPr>
          <w:tab/>
        </w:r>
        <w:r w:rsidRPr="00481670">
          <w:rPr>
            <w:noProof/>
            <w:webHidden/>
          </w:rPr>
          <w:fldChar w:fldCharType="begin"/>
        </w:r>
        <w:r w:rsidRPr="00481670">
          <w:rPr>
            <w:noProof/>
            <w:webHidden/>
          </w:rPr>
          <w:instrText xml:space="preserve"> PAGEREF _Toc310510821 \h </w:instrText>
        </w:r>
        <w:r>
          <w:rPr>
            <w:noProof/>
          </w:rPr>
        </w:r>
        <w:r w:rsidRPr="00481670">
          <w:rPr>
            <w:noProof/>
            <w:webHidden/>
          </w:rPr>
          <w:fldChar w:fldCharType="separate"/>
        </w:r>
        <w:r>
          <w:rPr>
            <w:noProof/>
            <w:webHidden/>
          </w:rPr>
          <w:t>10</w:t>
        </w:r>
        <w:r w:rsidRPr="00481670">
          <w:rPr>
            <w:noProof/>
            <w:webHidden/>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22" w:history="1">
        <w:r w:rsidRPr="00481670">
          <w:rPr>
            <w:rStyle w:val="Hyperlink"/>
            <w:rFonts w:cs="Arial"/>
            <w:noProof/>
            <w:color w:val="auto"/>
          </w:rPr>
          <w:t>Summary</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_Toc310510822 \h </w:instrText>
        </w:r>
        <w:r w:rsidRPr="00524CD1">
          <w:rPr>
            <w:noProof/>
            <w:color w:val="auto"/>
          </w:rPr>
        </w:r>
        <w:r w:rsidRPr="00481670">
          <w:rPr>
            <w:noProof/>
            <w:webHidden/>
            <w:color w:val="auto"/>
          </w:rPr>
          <w:fldChar w:fldCharType="separate"/>
        </w:r>
        <w:r>
          <w:rPr>
            <w:noProof/>
            <w:webHidden/>
            <w:color w:val="auto"/>
          </w:rPr>
          <w:t>11</w:t>
        </w:r>
        <w:r w:rsidRPr="00481670">
          <w:rPr>
            <w:noProof/>
            <w:webHidden/>
            <w:color w:val="auto"/>
          </w:rPr>
          <w:fldChar w:fldCharType="end"/>
        </w:r>
      </w:hyperlink>
    </w:p>
    <w:p w:rsidR="00345E4D" w:rsidRPr="00481670" w:rsidRDefault="00345E4D">
      <w:pPr>
        <w:pStyle w:val="TOC1"/>
        <w:tabs>
          <w:tab w:val="right" w:leader="dot" w:pos="10194"/>
        </w:tabs>
        <w:rPr>
          <w:rFonts w:eastAsia="Gulim" w:cs="Times New Roman"/>
          <w:noProof/>
          <w:color w:val="auto"/>
          <w:sz w:val="22"/>
          <w:szCs w:val="22"/>
          <w:lang w:val="en-AU" w:eastAsia="en-AU"/>
        </w:rPr>
      </w:pPr>
      <w:hyperlink w:anchor="_Toc310510823" w:history="1">
        <w:r w:rsidRPr="00481670">
          <w:rPr>
            <w:rStyle w:val="Hyperlink"/>
            <w:rFonts w:cs="Arial"/>
            <w:noProof/>
            <w:color w:val="auto"/>
          </w:rPr>
          <w:t>Licensing options</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_Toc310510823 \h </w:instrText>
        </w:r>
        <w:r w:rsidRPr="00524CD1">
          <w:rPr>
            <w:noProof/>
            <w:color w:val="auto"/>
          </w:rPr>
        </w:r>
        <w:r w:rsidRPr="00481670">
          <w:rPr>
            <w:noProof/>
            <w:webHidden/>
            <w:color w:val="auto"/>
          </w:rPr>
          <w:fldChar w:fldCharType="separate"/>
        </w:r>
        <w:r>
          <w:rPr>
            <w:noProof/>
            <w:webHidden/>
            <w:color w:val="auto"/>
          </w:rPr>
          <w:t>12</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24" w:history="1">
        <w:r w:rsidRPr="00481670">
          <w:rPr>
            <w:rStyle w:val="Hyperlink"/>
            <w:rFonts w:cs="Arial"/>
            <w:noProof/>
            <w:color w:val="auto"/>
          </w:rPr>
          <w:t>Option 1: Status quo</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_Toc310510824 \h </w:instrText>
        </w:r>
        <w:r w:rsidRPr="00524CD1">
          <w:rPr>
            <w:noProof/>
            <w:color w:val="auto"/>
          </w:rPr>
        </w:r>
        <w:r w:rsidRPr="00481670">
          <w:rPr>
            <w:noProof/>
            <w:webHidden/>
            <w:color w:val="auto"/>
          </w:rPr>
          <w:fldChar w:fldCharType="separate"/>
        </w:r>
        <w:r>
          <w:rPr>
            <w:noProof/>
            <w:webHidden/>
            <w:color w:val="auto"/>
          </w:rPr>
          <w:t>12</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25" w:history="1">
        <w:r w:rsidRPr="00481670">
          <w:rPr>
            <w:rStyle w:val="Hyperlink"/>
            <w:rFonts w:cs="Arial"/>
            <w:noProof/>
            <w:color w:val="auto"/>
          </w:rPr>
          <w:t>Option 2: Removing exemption from National Credit Act</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_Toc310510825 \h </w:instrText>
        </w:r>
        <w:r w:rsidRPr="00524CD1">
          <w:rPr>
            <w:noProof/>
            <w:color w:val="auto"/>
          </w:rPr>
        </w:r>
        <w:r w:rsidRPr="00481670">
          <w:rPr>
            <w:noProof/>
            <w:webHidden/>
            <w:color w:val="auto"/>
          </w:rPr>
          <w:fldChar w:fldCharType="separate"/>
        </w:r>
        <w:r>
          <w:rPr>
            <w:noProof/>
            <w:webHidden/>
            <w:color w:val="auto"/>
          </w:rPr>
          <w:t>12</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26" w:history="1">
        <w:r w:rsidRPr="00481670">
          <w:rPr>
            <w:rStyle w:val="Hyperlink"/>
            <w:rFonts w:cs="Arial"/>
            <w:noProof/>
            <w:color w:val="auto"/>
          </w:rPr>
          <w:t>Option 3: The national occupational licensing system (NOLS) model</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_Toc310510826 \h </w:instrText>
        </w:r>
        <w:r w:rsidRPr="00524CD1">
          <w:rPr>
            <w:noProof/>
            <w:color w:val="auto"/>
          </w:rPr>
        </w:r>
        <w:r w:rsidRPr="00481670">
          <w:rPr>
            <w:noProof/>
            <w:webHidden/>
            <w:color w:val="auto"/>
          </w:rPr>
          <w:fldChar w:fldCharType="separate"/>
        </w:r>
        <w:r>
          <w:rPr>
            <w:noProof/>
            <w:webHidden/>
            <w:color w:val="auto"/>
          </w:rPr>
          <w:t>13</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27" w:history="1">
        <w:r w:rsidRPr="00481670">
          <w:rPr>
            <w:rStyle w:val="Hyperlink"/>
            <w:rFonts w:cs="Arial"/>
            <w:noProof/>
            <w:color w:val="auto"/>
          </w:rPr>
          <w:t>Option 5: Deemed licensing via the national credit act or a separate national licensing act</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_Toc310510827 \h </w:instrText>
        </w:r>
        <w:r w:rsidRPr="00524CD1">
          <w:rPr>
            <w:noProof/>
            <w:color w:val="auto"/>
          </w:rPr>
        </w:r>
        <w:r w:rsidRPr="00481670">
          <w:rPr>
            <w:noProof/>
            <w:webHidden/>
            <w:color w:val="auto"/>
          </w:rPr>
          <w:fldChar w:fldCharType="separate"/>
        </w:r>
        <w:r>
          <w:rPr>
            <w:noProof/>
            <w:webHidden/>
            <w:color w:val="auto"/>
          </w:rPr>
          <w:t>13</w:t>
        </w:r>
        <w:r w:rsidRPr="00481670">
          <w:rPr>
            <w:noProof/>
            <w:webHidden/>
            <w:color w:val="auto"/>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28" w:history="1">
        <w:r w:rsidRPr="00481670">
          <w:rPr>
            <w:rStyle w:val="Hyperlink"/>
            <w:noProof/>
            <w:color w:val="auto"/>
          </w:rPr>
          <w:t>Business entity licensing</w:t>
        </w:r>
        <w:r w:rsidRPr="00481670">
          <w:rPr>
            <w:noProof/>
            <w:webHidden/>
          </w:rPr>
          <w:tab/>
        </w:r>
        <w:r w:rsidRPr="00481670">
          <w:rPr>
            <w:noProof/>
            <w:webHidden/>
          </w:rPr>
          <w:fldChar w:fldCharType="begin"/>
        </w:r>
        <w:r w:rsidRPr="00481670">
          <w:rPr>
            <w:noProof/>
            <w:webHidden/>
          </w:rPr>
          <w:instrText xml:space="preserve"> PAGEREF _Toc310510828 \h </w:instrText>
        </w:r>
        <w:r>
          <w:rPr>
            <w:noProof/>
          </w:rPr>
        </w:r>
        <w:r w:rsidRPr="00481670">
          <w:rPr>
            <w:noProof/>
            <w:webHidden/>
          </w:rPr>
          <w:fldChar w:fldCharType="separate"/>
        </w:r>
        <w:r>
          <w:rPr>
            <w:noProof/>
            <w:webHidden/>
          </w:rPr>
          <w:t>14</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29" w:history="1">
        <w:r w:rsidRPr="00481670">
          <w:rPr>
            <w:rStyle w:val="Hyperlink"/>
            <w:noProof/>
            <w:color w:val="auto"/>
          </w:rPr>
          <w:t>Responsible managers</w:t>
        </w:r>
        <w:r w:rsidRPr="00481670">
          <w:rPr>
            <w:noProof/>
            <w:webHidden/>
          </w:rPr>
          <w:tab/>
        </w:r>
        <w:r w:rsidRPr="00481670">
          <w:rPr>
            <w:noProof/>
            <w:webHidden/>
          </w:rPr>
          <w:fldChar w:fldCharType="begin"/>
        </w:r>
        <w:r w:rsidRPr="00481670">
          <w:rPr>
            <w:noProof/>
            <w:webHidden/>
          </w:rPr>
          <w:instrText xml:space="preserve"> PAGEREF _Toc310510829 \h </w:instrText>
        </w:r>
        <w:r>
          <w:rPr>
            <w:noProof/>
          </w:rPr>
        </w:r>
        <w:r w:rsidRPr="00481670">
          <w:rPr>
            <w:noProof/>
            <w:webHidden/>
          </w:rPr>
          <w:fldChar w:fldCharType="separate"/>
        </w:r>
        <w:r>
          <w:rPr>
            <w:noProof/>
            <w:webHidden/>
          </w:rPr>
          <w:t>14</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30" w:history="1">
        <w:r w:rsidRPr="00481670">
          <w:rPr>
            <w:rStyle w:val="Hyperlink"/>
            <w:noProof/>
            <w:color w:val="auto"/>
          </w:rPr>
          <w:t>Organisational competence</w:t>
        </w:r>
        <w:r w:rsidRPr="00481670">
          <w:rPr>
            <w:noProof/>
            <w:webHidden/>
          </w:rPr>
          <w:tab/>
        </w:r>
        <w:r w:rsidRPr="00481670">
          <w:rPr>
            <w:noProof/>
            <w:webHidden/>
          </w:rPr>
          <w:fldChar w:fldCharType="begin"/>
        </w:r>
        <w:r w:rsidRPr="00481670">
          <w:rPr>
            <w:noProof/>
            <w:webHidden/>
          </w:rPr>
          <w:instrText xml:space="preserve"> PAGEREF _Toc310510830 \h </w:instrText>
        </w:r>
        <w:r>
          <w:rPr>
            <w:noProof/>
          </w:rPr>
        </w:r>
        <w:r w:rsidRPr="00481670">
          <w:rPr>
            <w:noProof/>
            <w:webHidden/>
          </w:rPr>
          <w:fldChar w:fldCharType="separate"/>
        </w:r>
        <w:r>
          <w:rPr>
            <w:noProof/>
            <w:webHidden/>
          </w:rPr>
          <w:t>14</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31" w:history="1">
        <w:r w:rsidRPr="00481670">
          <w:rPr>
            <w:rStyle w:val="Hyperlink"/>
            <w:noProof/>
            <w:color w:val="auto"/>
          </w:rPr>
          <w:t>Training of employees</w:t>
        </w:r>
        <w:r w:rsidRPr="00481670">
          <w:rPr>
            <w:noProof/>
            <w:webHidden/>
          </w:rPr>
          <w:tab/>
        </w:r>
        <w:r w:rsidRPr="00481670">
          <w:rPr>
            <w:noProof/>
            <w:webHidden/>
          </w:rPr>
          <w:fldChar w:fldCharType="begin"/>
        </w:r>
        <w:r w:rsidRPr="00481670">
          <w:rPr>
            <w:noProof/>
            <w:webHidden/>
          </w:rPr>
          <w:instrText xml:space="preserve"> PAGEREF _Toc310510831 \h </w:instrText>
        </w:r>
        <w:r>
          <w:rPr>
            <w:noProof/>
          </w:rPr>
        </w:r>
        <w:r w:rsidRPr="00481670">
          <w:rPr>
            <w:noProof/>
            <w:webHidden/>
          </w:rPr>
          <w:fldChar w:fldCharType="separate"/>
        </w:r>
        <w:r>
          <w:rPr>
            <w:noProof/>
            <w:webHidden/>
          </w:rPr>
          <w:t>15</w:t>
        </w:r>
        <w:r w:rsidRPr="00481670">
          <w:rPr>
            <w:noProof/>
            <w:webHidden/>
          </w:rPr>
          <w:fldChar w:fldCharType="end"/>
        </w:r>
      </w:hyperlink>
    </w:p>
    <w:p w:rsidR="00345E4D" w:rsidRPr="00481670" w:rsidRDefault="00345E4D" w:rsidP="00481670">
      <w:pPr>
        <w:pStyle w:val="TOC3"/>
        <w:tabs>
          <w:tab w:val="right" w:leader="dot" w:pos="10194"/>
        </w:tabs>
        <w:ind w:left="851"/>
        <w:rPr>
          <w:noProof/>
          <w:lang w:val="en-AU" w:eastAsia="en-AU"/>
        </w:rPr>
      </w:pPr>
      <w:hyperlink w:anchor="_Toc310510832" w:history="1">
        <w:r w:rsidRPr="00481670">
          <w:rPr>
            <w:rStyle w:val="Hyperlink"/>
            <w:noProof/>
            <w:color w:val="auto"/>
          </w:rPr>
          <w:t>Code of Conduct</w:t>
        </w:r>
        <w:r w:rsidRPr="00481670">
          <w:rPr>
            <w:noProof/>
            <w:webHidden/>
          </w:rPr>
          <w:tab/>
        </w:r>
        <w:r w:rsidRPr="00481670">
          <w:rPr>
            <w:noProof/>
            <w:webHidden/>
          </w:rPr>
          <w:fldChar w:fldCharType="begin"/>
        </w:r>
        <w:r w:rsidRPr="00481670">
          <w:rPr>
            <w:noProof/>
            <w:webHidden/>
          </w:rPr>
          <w:instrText xml:space="preserve"> PAGEREF _Toc310510832 \h </w:instrText>
        </w:r>
        <w:r>
          <w:rPr>
            <w:noProof/>
          </w:rPr>
        </w:r>
        <w:r w:rsidRPr="00481670">
          <w:rPr>
            <w:noProof/>
            <w:webHidden/>
          </w:rPr>
          <w:fldChar w:fldCharType="separate"/>
        </w:r>
        <w:r>
          <w:rPr>
            <w:noProof/>
            <w:webHidden/>
          </w:rPr>
          <w:t>16</w:t>
        </w:r>
        <w:r w:rsidRPr="00481670">
          <w:rPr>
            <w:noProof/>
            <w:webHidden/>
          </w:rPr>
          <w:fldChar w:fldCharType="end"/>
        </w:r>
      </w:hyperlink>
    </w:p>
    <w:p w:rsidR="00345E4D" w:rsidRPr="00481670" w:rsidRDefault="00345E4D">
      <w:pPr>
        <w:pStyle w:val="TOC1"/>
        <w:tabs>
          <w:tab w:val="right" w:leader="dot" w:pos="10194"/>
        </w:tabs>
        <w:rPr>
          <w:rFonts w:eastAsia="Gulim" w:cs="Times New Roman"/>
          <w:noProof/>
          <w:color w:val="auto"/>
          <w:sz w:val="22"/>
          <w:szCs w:val="22"/>
          <w:lang w:val="en-AU" w:eastAsia="en-AU"/>
        </w:rPr>
      </w:pPr>
      <w:hyperlink w:anchor="_Toc310510833" w:history="1">
        <w:r w:rsidRPr="00481670">
          <w:rPr>
            <w:rStyle w:val="Hyperlink"/>
            <w:rFonts w:cs="Arial"/>
            <w:noProof/>
            <w:color w:val="auto"/>
          </w:rPr>
          <w:t>Administration options</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_Toc310510833 \h </w:instrText>
        </w:r>
        <w:r w:rsidRPr="00524CD1">
          <w:rPr>
            <w:noProof/>
            <w:color w:val="auto"/>
          </w:rPr>
        </w:r>
        <w:r w:rsidRPr="00481670">
          <w:rPr>
            <w:noProof/>
            <w:webHidden/>
            <w:color w:val="auto"/>
          </w:rPr>
          <w:fldChar w:fldCharType="separate"/>
        </w:r>
        <w:r>
          <w:rPr>
            <w:noProof/>
            <w:webHidden/>
            <w:color w:val="auto"/>
          </w:rPr>
          <w:t>17</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34" w:history="1">
        <w:r w:rsidRPr="00481670">
          <w:rPr>
            <w:rStyle w:val="Hyperlink"/>
            <w:rFonts w:cs="Arial"/>
            <w:noProof/>
            <w:color w:val="auto"/>
          </w:rPr>
          <w:t>Option 2: Transfer administration to a dedicated debt collection regulator – should a national licensing regime be established</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_Toc310510834 \h </w:instrText>
        </w:r>
        <w:r w:rsidRPr="00524CD1">
          <w:rPr>
            <w:noProof/>
            <w:color w:val="auto"/>
          </w:rPr>
        </w:r>
        <w:r w:rsidRPr="00481670">
          <w:rPr>
            <w:noProof/>
            <w:webHidden/>
            <w:color w:val="auto"/>
          </w:rPr>
          <w:fldChar w:fldCharType="separate"/>
        </w:r>
        <w:r>
          <w:rPr>
            <w:noProof/>
            <w:webHidden/>
            <w:color w:val="auto"/>
          </w:rPr>
          <w:t>17</w:t>
        </w:r>
        <w:r w:rsidRPr="00481670">
          <w:rPr>
            <w:noProof/>
            <w:webHidden/>
            <w:color w:val="auto"/>
          </w:rPr>
          <w:fldChar w:fldCharType="end"/>
        </w:r>
      </w:hyperlink>
    </w:p>
    <w:p w:rsidR="00345E4D" w:rsidRPr="00481670" w:rsidRDefault="00345E4D">
      <w:pPr>
        <w:pStyle w:val="TOC1"/>
        <w:tabs>
          <w:tab w:val="right" w:leader="dot" w:pos="10194"/>
        </w:tabs>
        <w:rPr>
          <w:rFonts w:eastAsia="Gulim" w:cs="Times New Roman"/>
          <w:noProof/>
          <w:color w:val="auto"/>
          <w:sz w:val="22"/>
          <w:szCs w:val="22"/>
          <w:lang w:val="en-AU" w:eastAsia="en-AU"/>
        </w:rPr>
      </w:pPr>
      <w:hyperlink w:anchor="_Toc310510835" w:history="1">
        <w:r w:rsidRPr="00481670">
          <w:rPr>
            <w:rStyle w:val="Hyperlink"/>
            <w:rFonts w:cs="Arial"/>
            <w:noProof/>
            <w:color w:val="auto"/>
          </w:rPr>
          <w:t>Future consultation</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_Toc310510835 \h </w:instrText>
        </w:r>
        <w:r w:rsidRPr="00524CD1">
          <w:rPr>
            <w:noProof/>
            <w:color w:val="auto"/>
          </w:rPr>
        </w:r>
        <w:r w:rsidRPr="00481670">
          <w:rPr>
            <w:noProof/>
            <w:webHidden/>
            <w:color w:val="auto"/>
          </w:rPr>
          <w:fldChar w:fldCharType="separate"/>
        </w:r>
        <w:r>
          <w:rPr>
            <w:noProof/>
            <w:webHidden/>
            <w:color w:val="auto"/>
          </w:rPr>
          <w:t>18</w:t>
        </w:r>
        <w:r w:rsidRPr="00481670">
          <w:rPr>
            <w:noProof/>
            <w:webHidden/>
            <w:color w:val="auto"/>
          </w:rPr>
          <w:fldChar w:fldCharType="end"/>
        </w:r>
      </w:hyperlink>
    </w:p>
    <w:p w:rsidR="00345E4D" w:rsidRPr="00481670" w:rsidRDefault="00345E4D">
      <w:pPr>
        <w:pStyle w:val="TOC1"/>
        <w:tabs>
          <w:tab w:val="left" w:pos="1320"/>
          <w:tab w:val="right" w:leader="dot" w:pos="10194"/>
        </w:tabs>
        <w:rPr>
          <w:rFonts w:eastAsia="Gulim" w:cs="Times New Roman"/>
          <w:noProof/>
          <w:color w:val="auto"/>
          <w:sz w:val="22"/>
          <w:szCs w:val="22"/>
          <w:lang w:val="en-AU" w:eastAsia="en-AU"/>
        </w:rPr>
      </w:pPr>
      <w:hyperlink w:anchor="_Toc310510836" w:history="1">
        <w:r w:rsidRPr="00481670">
          <w:rPr>
            <w:rStyle w:val="Hyperlink"/>
            <w:rFonts w:cs="Arial"/>
            <w:noProof/>
            <w:color w:val="auto"/>
          </w:rPr>
          <w:t xml:space="preserve">Annexure A </w:t>
        </w:r>
        <w:r w:rsidRPr="00481670">
          <w:rPr>
            <w:rFonts w:eastAsia="Gulim" w:cs="Times New Roman"/>
            <w:noProof/>
            <w:color w:val="auto"/>
            <w:sz w:val="22"/>
            <w:szCs w:val="22"/>
            <w:lang w:val="en-AU" w:eastAsia="en-AU"/>
          </w:rPr>
          <w:tab/>
        </w:r>
        <w:r w:rsidRPr="00481670">
          <w:rPr>
            <w:rStyle w:val="Hyperlink"/>
            <w:rFonts w:cs="Arial"/>
            <w:noProof/>
            <w:color w:val="auto"/>
          </w:rPr>
          <w:t>Collections Sector Demographics</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_Toc310510836 \h </w:instrText>
        </w:r>
        <w:r w:rsidRPr="00524CD1">
          <w:rPr>
            <w:noProof/>
            <w:color w:val="auto"/>
          </w:rPr>
        </w:r>
        <w:r w:rsidRPr="00481670">
          <w:rPr>
            <w:noProof/>
            <w:webHidden/>
            <w:color w:val="auto"/>
          </w:rPr>
          <w:fldChar w:fldCharType="separate"/>
        </w:r>
        <w:r>
          <w:rPr>
            <w:noProof/>
            <w:webHidden/>
            <w:color w:val="auto"/>
          </w:rPr>
          <w:t>19</w:t>
        </w:r>
        <w:r w:rsidRPr="00481670">
          <w:rPr>
            <w:noProof/>
            <w:webHidden/>
            <w:color w:val="auto"/>
          </w:rPr>
          <w:fldChar w:fldCharType="end"/>
        </w:r>
      </w:hyperlink>
    </w:p>
    <w:p w:rsidR="00345E4D" w:rsidRPr="00481670" w:rsidRDefault="00345E4D">
      <w:pPr>
        <w:pStyle w:val="TOC3"/>
        <w:tabs>
          <w:tab w:val="right" w:leader="dot" w:pos="10194"/>
        </w:tabs>
        <w:rPr>
          <w:noProof/>
          <w:lang w:val="en-AU" w:eastAsia="en-AU"/>
        </w:rPr>
      </w:pPr>
      <w:hyperlink w:anchor="_Toc310510837" w:history="1">
        <w:r w:rsidRPr="00481670">
          <w:rPr>
            <w:rStyle w:val="Hyperlink"/>
            <w:noProof/>
            <w:color w:val="auto"/>
            <w:kern w:val="32"/>
          </w:rPr>
          <w:t>Debt Values and Volumes</w:t>
        </w:r>
        <w:r w:rsidRPr="00481670">
          <w:rPr>
            <w:noProof/>
            <w:webHidden/>
          </w:rPr>
          <w:tab/>
        </w:r>
        <w:r w:rsidRPr="00481670">
          <w:rPr>
            <w:noProof/>
            <w:webHidden/>
          </w:rPr>
          <w:fldChar w:fldCharType="begin"/>
        </w:r>
        <w:r w:rsidRPr="00481670">
          <w:rPr>
            <w:noProof/>
            <w:webHidden/>
          </w:rPr>
          <w:instrText xml:space="preserve"> PAGEREF _Toc310510837 \h </w:instrText>
        </w:r>
        <w:r>
          <w:rPr>
            <w:noProof/>
          </w:rPr>
        </w:r>
        <w:r w:rsidRPr="00481670">
          <w:rPr>
            <w:noProof/>
            <w:webHidden/>
          </w:rPr>
          <w:fldChar w:fldCharType="separate"/>
        </w:r>
        <w:r>
          <w:rPr>
            <w:noProof/>
            <w:webHidden/>
          </w:rPr>
          <w:t>19</w:t>
        </w:r>
        <w:r w:rsidRPr="00481670">
          <w:rPr>
            <w:noProof/>
            <w:webHidden/>
          </w:rPr>
          <w:fldChar w:fldCharType="end"/>
        </w:r>
      </w:hyperlink>
    </w:p>
    <w:p w:rsidR="00345E4D" w:rsidRPr="00481670" w:rsidRDefault="00345E4D">
      <w:pPr>
        <w:pStyle w:val="TOC3"/>
        <w:tabs>
          <w:tab w:val="right" w:leader="dot" w:pos="10194"/>
        </w:tabs>
        <w:rPr>
          <w:noProof/>
          <w:lang w:val="en-AU" w:eastAsia="en-AU"/>
        </w:rPr>
      </w:pPr>
      <w:hyperlink w:anchor="_Toc310510838" w:history="1">
        <w:r w:rsidRPr="00481670">
          <w:rPr>
            <w:rStyle w:val="Hyperlink"/>
            <w:noProof/>
            <w:color w:val="auto"/>
          </w:rPr>
          <w:t>Workforce</w:t>
        </w:r>
        <w:r w:rsidRPr="00481670">
          <w:rPr>
            <w:noProof/>
            <w:webHidden/>
          </w:rPr>
          <w:tab/>
        </w:r>
        <w:r w:rsidRPr="00481670">
          <w:rPr>
            <w:noProof/>
            <w:webHidden/>
          </w:rPr>
          <w:fldChar w:fldCharType="begin"/>
        </w:r>
        <w:r w:rsidRPr="00481670">
          <w:rPr>
            <w:noProof/>
            <w:webHidden/>
          </w:rPr>
          <w:instrText xml:space="preserve"> PAGEREF _Toc310510838 \h </w:instrText>
        </w:r>
        <w:r>
          <w:rPr>
            <w:noProof/>
          </w:rPr>
        </w:r>
        <w:r w:rsidRPr="00481670">
          <w:rPr>
            <w:noProof/>
            <w:webHidden/>
          </w:rPr>
          <w:fldChar w:fldCharType="separate"/>
        </w:r>
        <w:r>
          <w:rPr>
            <w:noProof/>
            <w:webHidden/>
          </w:rPr>
          <w:t>20</w:t>
        </w:r>
        <w:r w:rsidRPr="00481670">
          <w:rPr>
            <w:noProof/>
            <w:webHidden/>
          </w:rPr>
          <w:fldChar w:fldCharType="end"/>
        </w:r>
      </w:hyperlink>
    </w:p>
    <w:p w:rsidR="00345E4D" w:rsidRPr="00481670" w:rsidRDefault="00345E4D">
      <w:pPr>
        <w:pStyle w:val="TOC3"/>
        <w:tabs>
          <w:tab w:val="right" w:leader="dot" w:pos="10194"/>
        </w:tabs>
        <w:rPr>
          <w:noProof/>
          <w:lang w:val="en-AU" w:eastAsia="en-AU"/>
        </w:rPr>
      </w:pPr>
      <w:hyperlink w:anchor="_Toc310510839" w:history="1">
        <w:r w:rsidRPr="00481670">
          <w:rPr>
            <w:rStyle w:val="Hyperlink"/>
            <w:noProof/>
            <w:color w:val="auto"/>
          </w:rPr>
          <w:t>Debtor Contacts</w:t>
        </w:r>
        <w:r w:rsidRPr="00481670">
          <w:rPr>
            <w:noProof/>
            <w:webHidden/>
          </w:rPr>
          <w:tab/>
        </w:r>
        <w:r w:rsidRPr="00481670">
          <w:rPr>
            <w:noProof/>
            <w:webHidden/>
          </w:rPr>
          <w:fldChar w:fldCharType="begin"/>
        </w:r>
        <w:r w:rsidRPr="00481670">
          <w:rPr>
            <w:noProof/>
            <w:webHidden/>
          </w:rPr>
          <w:instrText xml:space="preserve"> PAGEREF _Toc310510839 \h </w:instrText>
        </w:r>
        <w:r>
          <w:rPr>
            <w:noProof/>
          </w:rPr>
        </w:r>
        <w:r w:rsidRPr="00481670">
          <w:rPr>
            <w:noProof/>
            <w:webHidden/>
          </w:rPr>
          <w:fldChar w:fldCharType="separate"/>
        </w:r>
        <w:r>
          <w:rPr>
            <w:noProof/>
            <w:webHidden/>
          </w:rPr>
          <w:t>20</w:t>
        </w:r>
        <w:r w:rsidRPr="00481670">
          <w:rPr>
            <w:noProof/>
            <w:webHidden/>
          </w:rPr>
          <w:fldChar w:fldCharType="end"/>
        </w:r>
      </w:hyperlink>
    </w:p>
    <w:p w:rsidR="00345E4D" w:rsidRPr="00481670" w:rsidRDefault="00345E4D">
      <w:pPr>
        <w:pStyle w:val="TOC3"/>
        <w:tabs>
          <w:tab w:val="right" w:leader="dot" w:pos="10194"/>
        </w:tabs>
        <w:rPr>
          <w:noProof/>
          <w:lang w:val="en-AU" w:eastAsia="en-AU"/>
        </w:rPr>
      </w:pPr>
      <w:hyperlink w:anchor="_Toc310510840" w:history="1">
        <w:r w:rsidRPr="00481670">
          <w:rPr>
            <w:rStyle w:val="Hyperlink"/>
            <w:noProof/>
            <w:color w:val="auto"/>
          </w:rPr>
          <w:t>Complaints/Incidents Data</w:t>
        </w:r>
        <w:r w:rsidRPr="00481670">
          <w:rPr>
            <w:noProof/>
            <w:webHidden/>
          </w:rPr>
          <w:tab/>
        </w:r>
        <w:r w:rsidRPr="00481670">
          <w:rPr>
            <w:noProof/>
            <w:webHidden/>
          </w:rPr>
          <w:fldChar w:fldCharType="begin"/>
        </w:r>
        <w:r w:rsidRPr="00481670">
          <w:rPr>
            <w:noProof/>
            <w:webHidden/>
          </w:rPr>
          <w:instrText xml:space="preserve"> PAGEREF _Toc310510840 \h </w:instrText>
        </w:r>
        <w:r>
          <w:rPr>
            <w:noProof/>
          </w:rPr>
        </w:r>
        <w:r w:rsidRPr="00481670">
          <w:rPr>
            <w:noProof/>
            <w:webHidden/>
          </w:rPr>
          <w:fldChar w:fldCharType="separate"/>
        </w:r>
        <w:r>
          <w:rPr>
            <w:noProof/>
            <w:webHidden/>
          </w:rPr>
          <w:t>20</w:t>
        </w:r>
        <w:r w:rsidRPr="00481670">
          <w:rPr>
            <w:noProof/>
            <w:webHidden/>
          </w:rPr>
          <w:fldChar w:fldCharType="end"/>
        </w:r>
      </w:hyperlink>
    </w:p>
    <w:p w:rsidR="00345E4D" w:rsidRPr="00481670" w:rsidRDefault="00345E4D">
      <w:pPr>
        <w:pStyle w:val="TOC1"/>
        <w:tabs>
          <w:tab w:val="left" w:pos="1320"/>
          <w:tab w:val="right" w:leader="dot" w:pos="10194"/>
        </w:tabs>
        <w:rPr>
          <w:rFonts w:eastAsia="Gulim" w:cs="Times New Roman"/>
          <w:noProof/>
          <w:color w:val="auto"/>
          <w:sz w:val="22"/>
          <w:szCs w:val="22"/>
          <w:lang w:val="en-AU" w:eastAsia="en-AU"/>
        </w:rPr>
      </w:pPr>
      <w:hyperlink w:anchor="_Toc310510841" w:history="1">
        <w:r w:rsidRPr="00481670">
          <w:rPr>
            <w:rStyle w:val="Hyperlink"/>
            <w:rFonts w:cs="Arial"/>
            <w:noProof/>
            <w:color w:val="auto"/>
          </w:rPr>
          <w:t>Annexure B</w:t>
        </w:r>
        <w:r w:rsidRPr="00481670">
          <w:rPr>
            <w:rFonts w:eastAsia="Gulim" w:cs="Times New Roman"/>
            <w:noProof/>
            <w:color w:val="auto"/>
            <w:sz w:val="22"/>
            <w:szCs w:val="22"/>
            <w:lang w:val="en-AU" w:eastAsia="en-AU"/>
          </w:rPr>
          <w:tab/>
        </w:r>
        <w:r w:rsidRPr="00481670">
          <w:rPr>
            <w:rStyle w:val="Hyperlink"/>
            <w:rFonts w:cs="Arial"/>
            <w:noProof/>
            <w:color w:val="auto"/>
          </w:rPr>
          <w:t>ACDBA Concerns – Current Regulatory Environment</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_Toc310510841 \h </w:instrText>
        </w:r>
        <w:r w:rsidRPr="00524CD1">
          <w:rPr>
            <w:noProof/>
            <w:color w:val="auto"/>
          </w:rPr>
        </w:r>
        <w:r w:rsidRPr="00481670">
          <w:rPr>
            <w:noProof/>
            <w:webHidden/>
            <w:color w:val="auto"/>
          </w:rPr>
          <w:fldChar w:fldCharType="separate"/>
        </w:r>
        <w:r>
          <w:rPr>
            <w:noProof/>
            <w:webHidden/>
            <w:color w:val="auto"/>
          </w:rPr>
          <w:t>21</w:t>
        </w:r>
        <w:r w:rsidRPr="00481670">
          <w:rPr>
            <w:noProof/>
            <w:webHidden/>
            <w:color w:val="auto"/>
          </w:rPr>
          <w:fldChar w:fldCharType="end"/>
        </w:r>
      </w:hyperlink>
    </w:p>
    <w:p w:rsidR="00345E4D" w:rsidRPr="00481670" w:rsidRDefault="00345E4D">
      <w:pPr>
        <w:pStyle w:val="TOC1"/>
        <w:tabs>
          <w:tab w:val="left" w:pos="1320"/>
          <w:tab w:val="right" w:leader="dot" w:pos="10194"/>
        </w:tabs>
        <w:rPr>
          <w:rFonts w:eastAsia="Gulim" w:cs="Times New Roman"/>
          <w:noProof/>
          <w:color w:val="auto"/>
          <w:sz w:val="22"/>
          <w:szCs w:val="22"/>
          <w:lang w:val="en-AU" w:eastAsia="en-AU"/>
        </w:rPr>
      </w:pPr>
      <w:hyperlink w:anchor="_Toc310510842" w:history="1">
        <w:r w:rsidRPr="00481670">
          <w:rPr>
            <w:rStyle w:val="Hyperlink"/>
            <w:rFonts w:cs="Arial"/>
            <w:noProof/>
            <w:color w:val="auto"/>
          </w:rPr>
          <w:t>Annexure C</w:t>
        </w:r>
        <w:r w:rsidRPr="00481670">
          <w:rPr>
            <w:rFonts w:eastAsia="Gulim" w:cs="Times New Roman"/>
            <w:noProof/>
            <w:color w:val="auto"/>
            <w:sz w:val="22"/>
            <w:szCs w:val="22"/>
            <w:lang w:val="en-AU" w:eastAsia="en-AU"/>
          </w:rPr>
          <w:tab/>
        </w:r>
        <w:r w:rsidRPr="00481670">
          <w:rPr>
            <w:rStyle w:val="Hyperlink"/>
            <w:rFonts w:cs="Arial"/>
            <w:noProof/>
            <w:color w:val="auto"/>
          </w:rPr>
          <w:t xml:space="preserve"> Collections Sector Profile</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_Toc310510842 \h </w:instrText>
        </w:r>
        <w:r w:rsidRPr="00524CD1">
          <w:rPr>
            <w:noProof/>
            <w:color w:val="auto"/>
          </w:rPr>
        </w:r>
        <w:r w:rsidRPr="00481670">
          <w:rPr>
            <w:noProof/>
            <w:webHidden/>
            <w:color w:val="auto"/>
          </w:rPr>
          <w:fldChar w:fldCharType="separate"/>
        </w:r>
        <w:r>
          <w:rPr>
            <w:noProof/>
            <w:webHidden/>
            <w:color w:val="auto"/>
          </w:rPr>
          <w:t>23</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43" w:history="1">
        <w:r w:rsidRPr="00481670">
          <w:rPr>
            <w:rStyle w:val="Hyperlink"/>
            <w:rFonts w:cs="Arial"/>
            <w:noProof/>
            <w:color w:val="auto"/>
          </w:rPr>
          <w:t>Corporatisation</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_Toc310510843 \h </w:instrText>
        </w:r>
        <w:r w:rsidRPr="00524CD1">
          <w:rPr>
            <w:noProof/>
            <w:color w:val="auto"/>
          </w:rPr>
        </w:r>
        <w:r w:rsidRPr="00481670">
          <w:rPr>
            <w:noProof/>
            <w:webHidden/>
            <w:color w:val="auto"/>
          </w:rPr>
          <w:fldChar w:fldCharType="separate"/>
        </w:r>
        <w:r>
          <w:rPr>
            <w:noProof/>
            <w:webHidden/>
            <w:color w:val="auto"/>
          </w:rPr>
          <w:t>23</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44" w:history="1">
        <w:r w:rsidRPr="00481670">
          <w:rPr>
            <w:rStyle w:val="Hyperlink"/>
            <w:rFonts w:cs="Arial"/>
            <w:noProof/>
            <w:color w:val="auto"/>
          </w:rPr>
          <w:t>Adoption of Technology</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_Toc310510844 \h </w:instrText>
        </w:r>
        <w:r w:rsidRPr="00524CD1">
          <w:rPr>
            <w:noProof/>
            <w:color w:val="auto"/>
          </w:rPr>
        </w:r>
        <w:r w:rsidRPr="00481670">
          <w:rPr>
            <w:noProof/>
            <w:webHidden/>
            <w:color w:val="auto"/>
          </w:rPr>
          <w:fldChar w:fldCharType="separate"/>
        </w:r>
        <w:r>
          <w:rPr>
            <w:noProof/>
            <w:webHidden/>
            <w:color w:val="auto"/>
          </w:rPr>
          <w:t>23</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45" w:history="1">
        <w:r w:rsidRPr="00481670">
          <w:rPr>
            <w:rStyle w:val="Hyperlink"/>
            <w:rFonts w:cs="Arial"/>
            <w:noProof/>
            <w:color w:val="auto"/>
          </w:rPr>
          <w:t>Compliance Obligations</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_Toc310510845 \h </w:instrText>
        </w:r>
        <w:r w:rsidRPr="00524CD1">
          <w:rPr>
            <w:noProof/>
            <w:color w:val="auto"/>
          </w:rPr>
        </w:r>
        <w:r w:rsidRPr="00481670">
          <w:rPr>
            <w:noProof/>
            <w:webHidden/>
            <w:color w:val="auto"/>
          </w:rPr>
          <w:fldChar w:fldCharType="separate"/>
        </w:r>
        <w:r>
          <w:rPr>
            <w:noProof/>
            <w:webHidden/>
            <w:color w:val="auto"/>
          </w:rPr>
          <w:t>24</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46" w:history="1">
        <w:r w:rsidRPr="00481670">
          <w:rPr>
            <w:rStyle w:val="Hyperlink"/>
            <w:rFonts w:cs="Arial"/>
            <w:noProof/>
            <w:color w:val="auto"/>
          </w:rPr>
          <w:t>Complaints Data</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_Toc310510846 \h </w:instrText>
        </w:r>
        <w:r w:rsidRPr="00524CD1">
          <w:rPr>
            <w:noProof/>
            <w:color w:val="auto"/>
          </w:rPr>
        </w:r>
        <w:r w:rsidRPr="00481670">
          <w:rPr>
            <w:noProof/>
            <w:webHidden/>
            <w:color w:val="auto"/>
          </w:rPr>
          <w:fldChar w:fldCharType="separate"/>
        </w:r>
        <w:r>
          <w:rPr>
            <w:noProof/>
            <w:webHidden/>
            <w:color w:val="auto"/>
          </w:rPr>
          <w:t>26</w:t>
        </w:r>
        <w:r w:rsidRPr="00481670">
          <w:rPr>
            <w:noProof/>
            <w:webHidden/>
            <w:color w:val="auto"/>
          </w:rPr>
          <w:fldChar w:fldCharType="end"/>
        </w:r>
      </w:hyperlink>
    </w:p>
    <w:p w:rsidR="00345E4D" w:rsidRPr="00481670" w:rsidRDefault="00345E4D">
      <w:pPr>
        <w:pStyle w:val="TOC2"/>
        <w:rPr>
          <w:rFonts w:eastAsia="Gulim" w:cs="Times New Roman"/>
          <w:noProof/>
          <w:color w:val="auto"/>
          <w:sz w:val="22"/>
          <w:szCs w:val="22"/>
          <w:lang w:val="en-AU" w:eastAsia="en-AU"/>
        </w:rPr>
      </w:pPr>
      <w:hyperlink w:anchor="_Toc310510847" w:history="1">
        <w:r w:rsidRPr="00481670">
          <w:rPr>
            <w:rStyle w:val="Hyperlink"/>
            <w:rFonts w:cs="Arial"/>
            <w:noProof/>
            <w:color w:val="auto"/>
          </w:rPr>
          <w:t>Service Delivery</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_Toc310510847 \h </w:instrText>
        </w:r>
        <w:r w:rsidRPr="00524CD1">
          <w:rPr>
            <w:noProof/>
            <w:color w:val="auto"/>
          </w:rPr>
        </w:r>
        <w:r w:rsidRPr="00481670">
          <w:rPr>
            <w:noProof/>
            <w:webHidden/>
            <w:color w:val="auto"/>
          </w:rPr>
          <w:fldChar w:fldCharType="separate"/>
        </w:r>
        <w:r>
          <w:rPr>
            <w:noProof/>
            <w:webHidden/>
            <w:color w:val="auto"/>
          </w:rPr>
          <w:t>27</w:t>
        </w:r>
        <w:r w:rsidRPr="00481670">
          <w:rPr>
            <w:noProof/>
            <w:webHidden/>
            <w:color w:val="auto"/>
          </w:rPr>
          <w:fldChar w:fldCharType="end"/>
        </w:r>
      </w:hyperlink>
    </w:p>
    <w:p w:rsidR="00345E4D" w:rsidRPr="00481670" w:rsidRDefault="00345E4D">
      <w:pPr>
        <w:pStyle w:val="TOC1"/>
        <w:tabs>
          <w:tab w:val="left" w:pos="1320"/>
          <w:tab w:val="right" w:leader="dot" w:pos="10194"/>
        </w:tabs>
        <w:rPr>
          <w:rFonts w:eastAsia="Gulim" w:cs="Times New Roman"/>
          <w:noProof/>
          <w:color w:val="auto"/>
          <w:sz w:val="22"/>
          <w:szCs w:val="22"/>
          <w:lang w:val="en-AU" w:eastAsia="en-AU"/>
        </w:rPr>
      </w:pPr>
      <w:hyperlink w:anchor="_Toc310510848" w:history="1">
        <w:r w:rsidRPr="00481670">
          <w:rPr>
            <w:rStyle w:val="Hyperlink"/>
            <w:rFonts w:cs="Arial"/>
            <w:noProof/>
            <w:color w:val="auto"/>
          </w:rPr>
          <w:t>Annexure D</w:t>
        </w:r>
        <w:r w:rsidRPr="00481670">
          <w:rPr>
            <w:rFonts w:eastAsia="Gulim" w:cs="Times New Roman"/>
            <w:noProof/>
            <w:color w:val="auto"/>
            <w:sz w:val="22"/>
            <w:szCs w:val="22"/>
            <w:lang w:val="en-AU" w:eastAsia="en-AU"/>
          </w:rPr>
          <w:tab/>
        </w:r>
        <w:r w:rsidRPr="00481670">
          <w:rPr>
            <w:rStyle w:val="Hyperlink"/>
            <w:rFonts w:cs="Arial"/>
            <w:noProof/>
            <w:color w:val="auto"/>
          </w:rPr>
          <w:t xml:space="preserve"> Training</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_Toc310510848 \h </w:instrText>
        </w:r>
        <w:r w:rsidRPr="00524CD1">
          <w:rPr>
            <w:noProof/>
            <w:color w:val="auto"/>
          </w:rPr>
        </w:r>
        <w:r w:rsidRPr="00481670">
          <w:rPr>
            <w:noProof/>
            <w:webHidden/>
            <w:color w:val="auto"/>
          </w:rPr>
          <w:fldChar w:fldCharType="separate"/>
        </w:r>
        <w:r>
          <w:rPr>
            <w:noProof/>
            <w:webHidden/>
            <w:color w:val="auto"/>
          </w:rPr>
          <w:t>30</w:t>
        </w:r>
        <w:r w:rsidRPr="00481670">
          <w:rPr>
            <w:noProof/>
            <w:webHidden/>
            <w:color w:val="auto"/>
          </w:rPr>
          <w:fldChar w:fldCharType="end"/>
        </w:r>
      </w:hyperlink>
    </w:p>
    <w:p w:rsidR="00345E4D" w:rsidRPr="00481670" w:rsidRDefault="00345E4D">
      <w:pPr>
        <w:pStyle w:val="TOC1"/>
        <w:tabs>
          <w:tab w:val="left" w:pos="1320"/>
          <w:tab w:val="right" w:leader="dot" w:pos="10194"/>
        </w:tabs>
        <w:rPr>
          <w:rFonts w:eastAsia="Gulim" w:cs="Times New Roman"/>
          <w:noProof/>
          <w:color w:val="auto"/>
          <w:sz w:val="22"/>
          <w:szCs w:val="22"/>
          <w:lang w:val="en-AU" w:eastAsia="en-AU"/>
        </w:rPr>
      </w:pPr>
      <w:hyperlink w:anchor="_Toc310510849" w:history="1">
        <w:r w:rsidRPr="00481670">
          <w:rPr>
            <w:rStyle w:val="Hyperlink"/>
            <w:rFonts w:cs="Arial"/>
            <w:noProof/>
            <w:color w:val="auto"/>
          </w:rPr>
          <w:t>Annexure E</w:t>
        </w:r>
        <w:r w:rsidRPr="00481670">
          <w:rPr>
            <w:rFonts w:eastAsia="Gulim" w:cs="Times New Roman"/>
            <w:noProof/>
            <w:color w:val="auto"/>
            <w:sz w:val="22"/>
            <w:szCs w:val="22"/>
            <w:lang w:val="en-AU" w:eastAsia="en-AU"/>
          </w:rPr>
          <w:tab/>
        </w:r>
        <w:r w:rsidRPr="00481670">
          <w:rPr>
            <w:rStyle w:val="Hyperlink"/>
            <w:rFonts w:cs="Arial"/>
            <w:noProof/>
            <w:color w:val="auto"/>
          </w:rPr>
          <w:t xml:space="preserve"> Complaint Data Comparisons</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_Toc310510849 \h </w:instrText>
        </w:r>
        <w:r w:rsidRPr="00524CD1">
          <w:rPr>
            <w:noProof/>
            <w:color w:val="auto"/>
          </w:rPr>
        </w:r>
        <w:r w:rsidRPr="00481670">
          <w:rPr>
            <w:noProof/>
            <w:webHidden/>
            <w:color w:val="auto"/>
          </w:rPr>
          <w:fldChar w:fldCharType="separate"/>
        </w:r>
        <w:r>
          <w:rPr>
            <w:noProof/>
            <w:webHidden/>
            <w:color w:val="auto"/>
          </w:rPr>
          <w:t>33</w:t>
        </w:r>
        <w:r w:rsidRPr="00481670">
          <w:rPr>
            <w:noProof/>
            <w:webHidden/>
            <w:color w:val="auto"/>
          </w:rPr>
          <w:fldChar w:fldCharType="end"/>
        </w:r>
      </w:hyperlink>
    </w:p>
    <w:p w:rsidR="00345E4D" w:rsidRDefault="00345E4D">
      <w:pPr>
        <w:pStyle w:val="TOC1"/>
        <w:tabs>
          <w:tab w:val="right" w:leader="dot" w:pos="10194"/>
        </w:tabs>
        <w:rPr>
          <w:rFonts w:eastAsia="Gulim" w:cs="Times New Roman"/>
          <w:noProof/>
          <w:color w:val="auto"/>
          <w:sz w:val="22"/>
          <w:szCs w:val="22"/>
          <w:lang w:val="en-AU" w:eastAsia="en-AU"/>
        </w:rPr>
      </w:pPr>
      <w:hyperlink w:anchor="_Toc310510850" w:history="1">
        <w:r w:rsidRPr="00481670">
          <w:rPr>
            <w:rStyle w:val="Hyperlink"/>
            <w:rFonts w:cs="Arial"/>
            <w:noProof/>
            <w:color w:val="auto"/>
          </w:rPr>
          <w:t>Annexure F - ACDBA Membership</w:t>
        </w:r>
        <w:r w:rsidRPr="00481670">
          <w:rPr>
            <w:noProof/>
            <w:webHidden/>
            <w:color w:val="auto"/>
          </w:rPr>
          <w:tab/>
        </w:r>
        <w:r w:rsidRPr="00481670">
          <w:rPr>
            <w:noProof/>
            <w:webHidden/>
            <w:color w:val="auto"/>
          </w:rPr>
          <w:fldChar w:fldCharType="begin"/>
        </w:r>
        <w:r w:rsidRPr="00481670">
          <w:rPr>
            <w:noProof/>
            <w:webHidden/>
            <w:color w:val="auto"/>
          </w:rPr>
          <w:instrText xml:space="preserve"> PAGEREF _Toc310510850 \h </w:instrText>
        </w:r>
        <w:r w:rsidRPr="00524CD1">
          <w:rPr>
            <w:noProof/>
            <w:color w:val="auto"/>
          </w:rPr>
        </w:r>
        <w:r w:rsidRPr="00481670">
          <w:rPr>
            <w:noProof/>
            <w:webHidden/>
            <w:color w:val="auto"/>
          </w:rPr>
          <w:fldChar w:fldCharType="separate"/>
        </w:r>
        <w:r>
          <w:rPr>
            <w:noProof/>
            <w:webHidden/>
            <w:color w:val="auto"/>
          </w:rPr>
          <w:t>35</w:t>
        </w:r>
        <w:r w:rsidRPr="00481670">
          <w:rPr>
            <w:noProof/>
            <w:webHidden/>
            <w:color w:val="auto"/>
          </w:rPr>
          <w:fldChar w:fldCharType="end"/>
        </w:r>
      </w:hyperlink>
    </w:p>
    <w:p w:rsidR="00345E4D" w:rsidRPr="00432BB5" w:rsidRDefault="00345E4D" w:rsidP="00432BB5">
      <w:pPr>
        <w:tabs>
          <w:tab w:val="left" w:pos="0"/>
        </w:tabs>
        <w:rPr>
          <w:rFonts w:ascii="Arial" w:hAnsi="Arial" w:cs="Arial"/>
        </w:rPr>
      </w:pPr>
      <w:r w:rsidRPr="00432BB5">
        <w:fldChar w:fldCharType="end"/>
      </w:r>
    </w:p>
    <w:p w:rsidR="00345E4D" w:rsidRDefault="00345E4D">
      <w:pPr>
        <w:jc w:val="left"/>
        <w:rPr>
          <w:rStyle w:val="Emphasis"/>
          <w:rFonts w:ascii="Arial" w:eastAsia="Gulim" w:hAnsi="Arial"/>
          <w:i w:val="0"/>
          <w:iCs w:val="0"/>
          <w:color w:val="17365D"/>
          <w:spacing w:val="5"/>
          <w:kern w:val="28"/>
          <w:sz w:val="44"/>
          <w:szCs w:val="44"/>
        </w:rPr>
      </w:pPr>
      <w:r>
        <w:rPr>
          <w:rStyle w:val="Emphasis"/>
          <w:i w:val="0"/>
          <w:iCs w:val="0"/>
        </w:rPr>
        <w:br w:type="page"/>
      </w:r>
    </w:p>
    <w:p w:rsidR="00345E4D" w:rsidRPr="007224B1" w:rsidRDefault="00345E4D" w:rsidP="002828E9">
      <w:pPr>
        <w:pStyle w:val="Heading1"/>
        <w:rPr>
          <w:rStyle w:val="Emphasis"/>
          <w:i w:val="0"/>
          <w:iCs w:val="0"/>
        </w:rPr>
      </w:pPr>
      <w:bookmarkStart w:id="0" w:name="_Toc310510812"/>
      <w:r w:rsidRPr="007224B1">
        <w:rPr>
          <w:rStyle w:val="Emphasis"/>
          <w:i w:val="0"/>
          <w:iCs w:val="0"/>
        </w:rPr>
        <w:t>Executive Summary</w:t>
      </w:r>
      <w:bookmarkEnd w:id="0"/>
    </w:p>
    <w:p w:rsidR="00345E4D" w:rsidRPr="00BD03E4" w:rsidRDefault="00345E4D" w:rsidP="00A34375">
      <w:pPr>
        <w:spacing w:line="288" w:lineRule="auto"/>
        <w:rPr>
          <w:rFonts w:ascii="Arial" w:hAnsi="Arial" w:cs="Arial"/>
        </w:rPr>
      </w:pPr>
      <w:r w:rsidRPr="00BD03E4">
        <w:rPr>
          <w:rFonts w:ascii="Arial" w:hAnsi="Arial" w:cs="Arial"/>
        </w:rPr>
        <w:t>The Australian Collectors and Debt Buyers Association (ACDBA) supports a negative licensing regime, preferably under a national debt regulator, as the most effective means of addressing the regulatory burden faced by debt collectors and debt purchasers within the national context.</w:t>
      </w:r>
    </w:p>
    <w:p w:rsidR="00345E4D" w:rsidRPr="00BD03E4" w:rsidRDefault="00345E4D" w:rsidP="00A34375">
      <w:pPr>
        <w:spacing w:line="288" w:lineRule="auto"/>
        <w:rPr>
          <w:rFonts w:ascii="Arial" w:hAnsi="Arial" w:cs="Arial"/>
        </w:rPr>
      </w:pPr>
    </w:p>
    <w:p w:rsidR="00345E4D" w:rsidRPr="00BD03E4" w:rsidRDefault="00345E4D" w:rsidP="00A34375">
      <w:pPr>
        <w:spacing w:line="288" w:lineRule="auto"/>
        <w:rPr>
          <w:rFonts w:ascii="Arial" w:hAnsi="Arial" w:cs="Arial"/>
        </w:rPr>
      </w:pPr>
      <w:r w:rsidRPr="00BD03E4">
        <w:rPr>
          <w:rFonts w:ascii="Arial" w:hAnsi="Arial" w:cs="Arial"/>
        </w:rPr>
        <w:t>We represent the Collections sector which is demonstrably mature</w:t>
      </w:r>
      <w:r>
        <w:rPr>
          <w:rFonts w:ascii="Arial" w:hAnsi="Arial" w:cs="Arial"/>
        </w:rPr>
        <w:t>,</w:t>
      </w:r>
      <w:r w:rsidRPr="00BD03E4">
        <w:rPr>
          <w:rFonts w:ascii="Arial" w:hAnsi="Arial" w:cs="Arial"/>
        </w:rPr>
        <w:t xml:space="preserve"> professional and highly responsible in managing its wider compliance obligations.  Consumer Affairs Victoria has validated our industry’s professionalism by moving to a negative licensing regime. </w:t>
      </w:r>
    </w:p>
    <w:p w:rsidR="00345E4D" w:rsidRPr="00BD03E4" w:rsidRDefault="00345E4D" w:rsidP="00A34375">
      <w:pPr>
        <w:spacing w:line="288" w:lineRule="auto"/>
        <w:rPr>
          <w:rFonts w:ascii="Arial" w:hAnsi="Arial" w:cs="Arial"/>
        </w:rPr>
      </w:pPr>
    </w:p>
    <w:p w:rsidR="00345E4D" w:rsidRPr="00BD03E4" w:rsidRDefault="00345E4D" w:rsidP="00A34375">
      <w:pPr>
        <w:spacing w:line="288" w:lineRule="auto"/>
        <w:rPr>
          <w:rFonts w:ascii="Arial" w:hAnsi="Arial" w:cs="Arial"/>
        </w:rPr>
      </w:pPr>
      <w:r w:rsidRPr="00BD03E4">
        <w:rPr>
          <w:rFonts w:ascii="Arial" w:hAnsi="Arial" w:cs="Arial"/>
        </w:rPr>
        <w:t>We support a negative licensing regime because:</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Collections conduct is call-centre based with little, if any, face to face consumer contact</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Calls are usually monitored for quality control purposes</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The call centre model operates across all jurisdictions</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Complaint levels are very low in relation to customer contacts</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There is a range of national regulation which covers governance, market practices and consumer protection</w:t>
      </w:r>
    </w:p>
    <w:p w:rsidR="00345E4D" w:rsidRPr="00BD03E4" w:rsidRDefault="00345E4D" w:rsidP="006C59E4">
      <w:pPr>
        <w:pStyle w:val="ListParagraph"/>
        <w:numPr>
          <w:ilvl w:val="1"/>
          <w:numId w:val="32"/>
        </w:numPr>
        <w:spacing w:line="288" w:lineRule="auto"/>
        <w:rPr>
          <w:rFonts w:ascii="Arial" w:hAnsi="Arial" w:cs="Arial"/>
        </w:rPr>
      </w:pPr>
      <w:r w:rsidRPr="00BD03E4">
        <w:rPr>
          <w:rFonts w:ascii="Arial" w:hAnsi="Arial" w:cs="Arial"/>
        </w:rPr>
        <w:t>further regulation simply duplicates what already applies nationally and under our contractual arrangements with our clients</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The industry has adopted the ASIC/ACCC Debt Collection Guidelines as the collections standard</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Regulatory enforcement action at either State or Commonwealth level is extremely rare</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Our clients require particular compliance standards which are contractual obligations under the commercial relationship</w:t>
      </w:r>
    </w:p>
    <w:p w:rsidR="00345E4D" w:rsidRPr="00BD03E4" w:rsidRDefault="00345E4D" w:rsidP="00CA4A69">
      <w:pPr>
        <w:pStyle w:val="ListParagraph"/>
        <w:numPr>
          <w:ilvl w:val="0"/>
          <w:numId w:val="32"/>
        </w:numPr>
        <w:spacing w:line="288" w:lineRule="auto"/>
        <w:rPr>
          <w:rFonts w:ascii="Arial" w:hAnsi="Arial" w:cs="Arial"/>
        </w:rPr>
      </w:pPr>
      <w:r w:rsidRPr="00BD03E4">
        <w:rPr>
          <w:rFonts w:ascii="Arial" w:hAnsi="Arial" w:cs="Arial"/>
        </w:rPr>
        <w:t>Consumer Affairs Victoria recognises there are no, or insufficent, grounds to justify a positive licensing regime</w:t>
      </w:r>
    </w:p>
    <w:p w:rsidR="00345E4D" w:rsidRPr="00BD03E4" w:rsidRDefault="00345E4D" w:rsidP="00A34375">
      <w:pPr>
        <w:spacing w:line="288" w:lineRule="auto"/>
        <w:rPr>
          <w:rFonts w:ascii="Arial" w:hAnsi="Arial" w:cs="Arial"/>
        </w:rPr>
      </w:pPr>
    </w:p>
    <w:p w:rsidR="00345E4D" w:rsidRDefault="00345E4D" w:rsidP="00A34375">
      <w:pPr>
        <w:spacing w:line="288" w:lineRule="auto"/>
        <w:rPr>
          <w:rFonts w:ascii="Arial" w:hAnsi="Arial" w:cs="Arial"/>
        </w:rPr>
      </w:pPr>
      <w:r w:rsidRPr="00BD03E4">
        <w:rPr>
          <w:rFonts w:ascii="Arial" w:hAnsi="Arial" w:cs="Arial"/>
        </w:rPr>
        <w:t>Our preferred approach is consistent with the Options Paper’s observation there are high levels of compliance and minimal regulator intervention within the Collections sector.</w:t>
      </w:r>
    </w:p>
    <w:p w:rsidR="00345E4D" w:rsidRDefault="00345E4D" w:rsidP="00A34375">
      <w:pPr>
        <w:spacing w:line="288" w:lineRule="auto"/>
        <w:rPr>
          <w:rFonts w:ascii="Arial" w:hAnsi="Arial" w:cs="Arial"/>
        </w:rPr>
      </w:pPr>
    </w:p>
    <w:p w:rsidR="00345E4D" w:rsidRPr="00BD03E4" w:rsidRDefault="00345E4D" w:rsidP="00A34375">
      <w:pPr>
        <w:spacing w:line="288" w:lineRule="auto"/>
        <w:rPr>
          <w:rFonts w:ascii="Arial" w:hAnsi="Arial" w:cs="Arial"/>
        </w:rPr>
      </w:pPr>
      <w:r w:rsidRPr="00BD03E4">
        <w:rPr>
          <w:rFonts w:ascii="Arial" w:hAnsi="Arial" w:cs="Arial"/>
        </w:rPr>
        <w:t>Our least preferred option is the continuation of State based licensing regimes.  As evidenced by the finance sector, attempts to obtain State based consistency, even using template legislation, simply result in an inappropriate and moribund regime.</w:t>
      </w:r>
    </w:p>
    <w:p w:rsidR="00345E4D" w:rsidRPr="00BD03E4" w:rsidRDefault="00345E4D" w:rsidP="00A34375">
      <w:pPr>
        <w:spacing w:line="288" w:lineRule="auto"/>
        <w:rPr>
          <w:rFonts w:ascii="Arial" w:hAnsi="Arial" w:cs="Arial"/>
        </w:rPr>
      </w:pPr>
    </w:p>
    <w:p w:rsidR="00345E4D" w:rsidRPr="00BD03E4" w:rsidRDefault="00345E4D" w:rsidP="00A34375">
      <w:pPr>
        <w:spacing w:line="288" w:lineRule="auto"/>
        <w:rPr>
          <w:rFonts w:ascii="Arial" w:hAnsi="Arial" w:cs="Arial"/>
        </w:rPr>
      </w:pPr>
      <w:r w:rsidRPr="00BD03E4">
        <w:rPr>
          <w:rFonts w:ascii="Arial" w:hAnsi="Arial" w:cs="Arial"/>
        </w:rPr>
        <w:t>Consequent</w:t>
      </w:r>
      <w:r>
        <w:rPr>
          <w:rFonts w:ascii="Arial" w:hAnsi="Arial" w:cs="Arial"/>
        </w:rPr>
        <w:t>l</w:t>
      </w:r>
      <w:r w:rsidRPr="00BD03E4">
        <w:rPr>
          <w:rFonts w:ascii="Arial" w:hAnsi="Arial" w:cs="Arial"/>
        </w:rPr>
        <w:t>y, we believe a negative licensing regime is an appropriate approach for a professional sector.  The key outcomes of our proposed approach would be:</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Standards are set by existing national laws and the ASIC/ACCC Debt Collection Guideline which supports the Australian Competition and Consumer Act</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Inconsistencies across States and Territories are removed</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Regulators at both State and Commonwealth levels retain the power to take action against collectors who do not maintain appropriate standards</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Members purchasing consumer credit debts remain licensed under that regime</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There is no need to establish a new regulatory body</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Unprofessional conduct will be brought to regulator attention through consumer complaints, consumer action groups and the media</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A negative licensing regime is cost effective, given the small number of people engaged in the industry</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Our Association will support the regime through the establishment and maintainence of appropriate compliance and training standards</w:t>
      </w:r>
    </w:p>
    <w:p w:rsidR="00345E4D" w:rsidRPr="00BD03E4" w:rsidRDefault="00345E4D" w:rsidP="00A34375">
      <w:pPr>
        <w:pStyle w:val="ListParagraph"/>
        <w:numPr>
          <w:ilvl w:val="0"/>
          <w:numId w:val="21"/>
        </w:numPr>
        <w:spacing w:line="288" w:lineRule="auto"/>
        <w:rPr>
          <w:rFonts w:ascii="Arial" w:hAnsi="Arial" w:cs="Arial"/>
        </w:rPr>
      </w:pPr>
      <w:r w:rsidRPr="00BD03E4">
        <w:rPr>
          <w:rFonts w:ascii="Arial" w:hAnsi="Arial" w:cs="Arial"/>
        </w:rPr>
        <w:t>Our clients continue to assist in the establishment and maintence of compliance standards through their contractual relationships with our members</w:t>
      </w:r>
    </w:p>
    <w:p w:rsidR="00345E4D" w:rsidRPr="00C10494" w:rsidRDefault="00345E4D" w:rsidP="00A34375">
      <w:pPr>
        <w:pStyle w:val="ListParagraph"/>
        <w:spacing w:line="288" w:lineRule="auto"/>
        <w:rPr>
          <w:rFonts w:ascii="Arial" w:hAnsi="Arial" w:cs="Arial"/>
        </w:rPr>
      </w:pPr>
    </w:p>
    <w:p w:rsidR="00345E4D" w:rsidRDefault="00345E4D" w:rsidP="00A34375">
      <w:pPr>
        <w:spacing w:line="288" w:lineRule="auto"/>
        <w:rPr>
          <w:rStyle w:val="Emphasis"/>
          <w:rFonts w:ascii="Arial" w:hAnsi="Arial" w:cs="Arial"/>
          <w:bCs/>
          <w:i w:val="0"/>
          <w:kern w:val="32"/>
          <w:szCs w:val="22"/>
        </w:rPr>
      </w:pPr>
      <w:r w:rsidRPr="005E3640">
        <w:rPr>
          <w:rStyle w:val="Emphasis"/>
          <w:rFonts w:ascii="Arial" w:hAnsi="Arial" w:cs="Arial"/>
          <w:bCs/>
          <w:i w:val="0"/>
          <w:kern w:val="32"/>
          <w:szCs w:val="22"/>
        </w:rPr>
        <w:t xml:space="preserve">Our submission </w:t>
      </w:r>
      <w:r>
        <w:rPr>
          <w:rStyle w:val="Emphasis"/>
          <w:rFonts w:ascii="Arial" w:hAnsi="Arial" w:cs="Arial"/>
          <w:bCs/>
          <w:i w:val="0"/>
          <w:kern w:val="32"/>
          <w:szCs w:val="22"/>
        </w:rPr>
        <w:t xml:space="preserve">provides background on our industry and then </w:t>
      </w:r>
      <w:r w:rsidRPr="005E3640">
        <w:rPr>
          <w:rStyle w:val="Emphasis"/>
          <w:rFonts w:ascii="Arial" w:hAnsi="Arial" w:cs="Arial"/>
          <w:bCs/>
          <w:i w:val="0"/>
          <w:kern w:val="32"/>
          <w:szCs w:val="22"/>
        </w:rPr>
        <w:t>outlines the rationale for our pr</w:t>
      </w:r>
      <w:r>
        <w:rPr>
          <w:rStyle w:val="Emphasis"/>
          <w:rFonts w:ascii="Arial" w:hAnsi="Arial" w:cs="Arial"/>
          <w:bCs/>
          <w:i w:val="0"/>
          <w:kern w:val="32"/>
          <w:szCs w:val="22"/>
        </w:rPr>
        <w:t xml:space="preserve">eferred model in response to </w:t>
      </w:r>
      <w:r w:rsidRPr="005E3640">
        <w:rPr>
          <w:rStyle w:val="Emphasis"/>
          <w:rFonts w:ascii="Arial" w:hAnsi="Arial" w:cs="Arial"/>
          <w:bCs/>
          <w:i w:val="0"/>
          <w:kern w:val="32"/>
          <w:szCs w:val="22"/>
        </w:rPr>
        <w:t xml:space="preserve">the Options Paper.  It is supported by a range of </w:t>
      </w:r>
      <w:r>
        <w:rPr>
          <w:rStyle w:val="Emphasis"/>
          <w:rFonts w:ascii="Arial" w:hAnsi="Arial" w:cs="Arial"/>
          <w:bCs/>
          <w:i w:val="0"/>
          <w:kern w:val="32"/>
          <w:szCs w:val="22"/>
        </w:rPr>
        <w:t>a</w:t>
      </w:r>
      <w:r w:rsidRPr="005E3640">
        <w:rPr>
          <w:rStyle w:val="Emphasis"/>
          <w:rFonts w:ascii="Arial" w:hAnsi="Arial" w:cs="Arial"/>
          <w:bCs/>
          <w:i w:val="0"/>
          <w:kern w:val="32"/>
          <w:szCs w:val="22"/>
        </w:rPr>
        <w:t>ppendices which provide further explanation</w:t>
      </w:r>
      <w:r>
        <w:rPr>
          <w:rStyle w:val="Emphasis"/>
          <w:rFonts w:ascii="Arial" w:hAnsi="Arial" w:cs="Arial"/>
          <w:bCs/>
          <w:i w:val="0"/>
          <w:kern w:val="32"/>
          <w:szCs w:val="22"/>
        </w:rPr>
        <w:t>s</w:t>
      </w:r>
      <w:r w:rsidRPr="005E3640">
        <w:rPr>
          <w:rStyle w:val="Emphasis"/>
          <w:rFonts w:ascii="Arial" w:hAnsi="Arial" w:cs="Arial"/>
          <w:bCs/>
          <w:i w:val="0"/>
          <w:kern w:val="32"/>
          <w:szCs w:val="22"/>
        </w:rPr>
        <w:t xml:space="preserve"> of our industry and its current regulatory environment.</w:t>
      </w:r>
    </w:p>
    <w:p w:rsidR="00345E4D" w:rsidRDefault="00345E4D" w:rsidP="00A34375">
      <w:pPr>
        <w:spacing w:line="288" w:lineRule="auto"/>
        <w:rPr>
          <w:rStyle w:val="Emphasis"/>
          <w:rFonts w:ascii="Arial" w:hAnsi="Arial" w:cs="Arial"/>
          <w:bCs/>
          <w:i w:val="0"/>
          <w:kern w:val="32"/>
          <w:szCs w:val="22"/>
        </w:rPr>
      </w:pPr>
    </w:p>
    <w:p w:rsidR="00345E4D" w:rsidRDefault="00345E4D" w:rsidP="00A34375">
      <w:pPr>
        <w:spacing w:line="288" w:lineRule="auto"/>
        <w:rPr>
          <w:rStyle w:val="Emphasis"/>
          <w:rFonts w:ascii="Arial" w:hAnsi="Arial" w:cs="Arial"/>
          <w:bCs/>
          <w:i w:val="0"/>
          <w:kern w:val="32"/>
          <w:szCs w:val="22"/>
        </w:rPr>
      </w:pPr>
      <w:r>
        <w:rPr>
          <w:rStyle w:val="Emphasis"/>
          <w:rFonts w:ascii="Arial" w:hAnsi="Arial" w:cs="Arial"/>
          <w:bCs/>
          <w:i w:val="0"/>
          <w:kern w:val="32"/>
          <w:szCs w:val="22"/>
        </w:rPr>
        <w:t>Those appendices are:</w:t>
      </w:r>
    </w:p>
    <w:p w:rsidR="00345E4D" w:rsidRDefault="00345E4D" w:rsidP="00A34375">
      <w:pPr>
        <w:spacing w:line="288" w:lineRule="auto"/>
        <w:rPr>
          <w:rFonts w:ascii="Arial" w:eastAsia="Gulim" w:hAnsi="Arial" w:cs="Arial"/>
          <w:szCs w:val="22"/>
          <w:lang w:val="en-US" w:eastAsia="ja-JP"/>
        </w:rPr>
      </w:pPr>
      <w:r w:rsidRPr="00822A04">
        <w:rPr>
          <w:rFonts w:ascii="Arial" w:eastAsia="Gulim" w:hAnsi="Arial" w:cs="Arial"/>
          <w:szCs w:val="22"/>
          <w:lang w:val="en-US" w:eastAsia="ja-JP"/>
        </w:rPr>
        <w:t xml:space="preserve">Annexure </w:t>
      </w:r>
      <w:r>
        <w:rPr>
          <w:rFonts w:ascii="Arial" w:eastAsia="Gulim" w:hAnsi="Arial" w:cs="Arial"/>
          <w:szCs w:val="22"/>
          <w:lang w:val="en-US" w:eastAsia="ja-JP"/>
        </w:rPr>
        <w:t>A:</w:t>
      </w:r>
      <w:r>
        <w:rPr>
          <w:rFonts w:ascii="Arial" w:eastAsia="Gulim" w:hAnsi="Arial" w:cs="Arial"/>
          <w:szCs w:val="22"/>
          <w:lang w:val="en-US" w:eastAsia="ja-JP"/>
        </w:rPr>
        <w:tab/>
        <w:t>Collections Sector Demographics</w:t>
      </w:r>
    </w:p>
    <w:p w:rsidR="00345E4D" w:rsidRPr="00822A04" w:rsidRDefault="00345E4D" w:rsidP="00A34375">
      <w:pPr>
        <w:spacing w:line="288" w:lineRule="auto"/>
        <w:rPr>
          <w:rFonts w:ascii="Arial" w:eastAsia="Gulim" w:hAnsi="Arial" w:cs="Arial"/>
          <w:szCs w:val="22"/>
          <w:lang w:val="en-US" w:eastAsia="ja-JP"/>
        </w:rPr>
      </w:pPr>
      <w:r>
        <w:rPr>
          <w:rFonts w:ascii="Arial" w:eastAsia="Gulim" w:hAnsi="Arial" w:cs="Arial"/>
          <w:szCs w:val="22"/>
          <w:lang w:val="en-US" w:eastAsia="ja-JP"/>
        </w:rPr>
        <w:t>Annexure B:</w:t>
      </w:r>
      <w:r>
        <w:rPr>
          <w:rFonts w:ascii="Arial" w:eastAsia="Gulim" w:hAnsi="Arial" w:cs="Arial"/>
          <w:szCs w:val="22"/>
          <w:lang w:val="en-US" w:eastAsia="ja-JP"/>
        </w:rPr>
        <w:tab/>
      </w:r>
      <w:r w:rsidRPr="00822A04">
        <w:rPr>
          <w:rFonts w:ascii="Arial" w:eastAsia="Gulim" w:hAnsi="Arial" w:cs="Arial"/>
          <w:szCs w:val="22"/>
          <w:lang w:val="en-US" w:eastAsia="ja-JP"/>
        </w:rPr>
        <w:t>ACDBA Concerns - Current Regulatory Environment</w:t>
      </w:r>
    </w:p>
    <w:p w:rsidR="00345E4D" w:rsidRPr="00822A04" w:rsidRDefault="00345E4D" w:rsidP="00A34375">
      <w:pPr>
        <w:spacing w:line="288" w:lineRule="auto"/>
        <w:rPr>
          <w:rFonts w:ascii="Arial" w:eastAsia="Gulim" w:hAnsi="Arial" w:cs="Arial"/>
          <w:szCs w:val="22"/>
          <w:lang w:val="en-US" w:eastAsia="ja-JP"/>
        </w:rPr>
      </w:pPr>
      <w:r w:rsidRPr="00822A04">
        <w:rPr>
          <w:rFonts w:ascii="Arial" w:eastAsia="Gulim" w:hAnsi="Arial" w:cs="Arial"/>
          <w:szCs w:val="22"/>
          <w:lang w:val="en-US" w:eastAsia="ja-JP"/>
        </w:rPr>
        <w:t xml:space="preserve">Annexure </w:t>
      </w:r>
      <w:r>
        <w:rPr>
          <w:rFonts w:ascii="Arial" w:eastAsia="Gulim" w:hAnsi="Arial" w:cs="Arial"/>
          <w:szCs w:val="22"/>
          <w:lang w:val="en-US" w:eastAsia="ja-JP"/>
        </w:rPr>
        <w:t>C:</w:t>
      </w:r>
      <w:r>
        <w:rPr>
          <w:rFonts w:ascii="Arial" w:eastAsia="Gulim" w:hAnsi="Arial" w:cs="Arial"/>
          <w:szCs w:val="22"/>
          <w:lang w:val="en-US" w:eastAsia="ja-JP"/>
        </w:rPr>
        <w:tab/>
      </w:r>
      <w:r w:rsidRPr="00822A04">
        <w:rPr>
          <w:rFonts w:ascii="Arial" w:eastAsia="Gulim" w:hAnsi="Arial" w:cs="Arial"/>
          <w:szCs w:val="22"/>
          <w:lang w:val="en-US" w:eastAsia="ja-JP"/>
        </w:rPr>
        <w:t>Collections Sector Profile</w:t>
      </w:r>
    </w:p>
    <w:p w:rsidR="00345E4D" w:rsidRDefault="00345E4D" w:rsidP="00A34375">
      <w:pPr>
        <w:spacing w:line="288" w:lineRule="auto"/>
        <w:rPr>
          <w:rFonts w:ascii="Arial" w:eastAsia="Gulim" w:hAnsi="Arial" w:cs="Arial"/>
          <w:szCs w:val="22"/>
          <w:lang w:val="en-US" w:eastAsia="ja-JP"/>
        </w:rPr>
      </w:pPr>
      <w:r w:rsidRPr="00822A04">
        <w:rPr>
          <w:rFonts w:ascii="Arial" w:eastAsia="Gulim" w:hAnsi="Arial" w:cs="Arial"/>
          <w:szCs w:val="22"/>
          <w:lang w:val="en-US" w:eastAsia="ja-JP"/>
        </w:rPr>
        <w:t xml:space="preserve">Annexure </w:t>
      </w:r>
      <w:r>
        <w:rPr>
          <w:rFonts w:ascii="Arial" w:eastAsia="Gulim" w:hAnsi="Arial" w:cs="Arial"/>
          <w:szCs w:val="22"/>
          <w:lang w:val="en-US" w:eastAsia="ja-JP"/>
        </w:rPr>
        <w:t>D:</w:t>
      </w:r>
      <w:r>
        <w:rPr>
          <w:rFonts w:ascii="Arial" w:eastAsia="Gulim" w:hAnsi="Arial" w:cs="Arial"/>
          <w:szCs w:val="22"/>
          <w:lang w:val="en-US" w:eastAsia="ja-JP"/>
        </w:rPr>
        <w:tab/>
      </w:r>
      <w:r w:rsidRPr="00822A04">
        <w:rPr>
          <w:rFonts w:ascii="Arial" w:eastAsia="Gulim" w:hAnsi="Arial" w:cs="Arial"/>
          <w:szCs w:val="22"/>
          <w:lang w:val="en-US" w:eastAsia="ja-JP"/>
        </w:rPr>
        <w:t>Training</w:t>
      </w:r>
    </w:p>
    <w:p w:rsidR="00345E4D" w:rsidRPr="00822A04" w:rsidRDefault="00345E4D" w:rsidP="00A34375">
      <w:pPr>
        <w:spacing w:line="288" w:lineRule="auto"/>
        <w:rPr>
          <w:rFonts w:ascii="Arial" w:eastAsia="Gulim" w:hAnsi="Arial" w:cs="Arial"/>
          <w:szCs w:val="22"/>
          <w:lang w:val="en-US" w:eastAsia="ja-JP"/>
        </w:rPr>
      </w:pPr>
      <w:r>
        <w:rPr>
          <w:rFonts w:ascii="Arial" w:eastAsia="Gulim" w:hAnsi="Arial" w:cs="Arial"/>
          <w:szCs w:val="22"/>
          <w:lang w:val="en-US" w:eastAsia="ja-JP"/>
        </w:rPr>
        <w:t>Annexure E:</w:t>
      </w:r>
      <w:r>
        <w:rPr>
          <w:rFonts w:ascii="Arial" w:eastAsia="Gulim" w:hAnsi="Arial" w:cs="Arial"/>
          <w:szCs w:val="22"/>
          <w:lang w:val="en-US" w:eastAsia="ja-JP"/>
        </w:rPr>
        <w:tab/>
        <w:t>Complaint Data Comparisons.</w:t>
      </w:r>
    </w:p>
    <w:p w:rsidR="00345E4D" w:rsidRPr="005E3640" w:rsidRDefault="00345E4D">
      <w:pPr>
        <w:jc w:val="left"/>
        <w:rPr>
          <w:rStyle w:val="Emphasis"/>
          <w:rFonts w:cs="Arial"/>
          <w:bCs/>
          <w:i w:val="0"/>
          <w:iCs w:val="0"/>
          <w:kern w:val="32"/>
          <w:sz w:val="32"/>
          <w:szCs w:val="32"/>
        </w:rPr>
      </w:pPr>
      <w:r w:rsidRPr="005E3640">
        <w:rPr>
          <w:rStyle w:val="Emphasis"/>
          <w:i w:val="0"/>
          <w:iCs w:val="0"/>
        </w:rPr>
        <w:br w:type="page"/>
      </w:r>
    </w:p>
    <w:p w:rsidR="00345E4D" w:rsidRPr="002828E9" w:rsidRDefault="00345E4D" w:rsidP="002828E9">
      <w:pPr>
        <w:pStyle w:val="Heading1"/>
        <w:rPr>
          <w:rStyle w:val="Emphasis"/>
          <w:i w:val="0"/>
          <w:iCs w:val="0"/>
        </w:rPr>
      </w:pPr>
      <w:bookmarkStart w:id="1" w:name="_Toc310510813"/>
      <w:r>
        <w:rPr>
          <w:rStyle w:val="Emphasis"/>
          <w:i w:val="0"/>
          <w:iCs w:val="0"/>
        </w:rPr>
        <w:t>Background</w:t>
      </w:r>
      <w:bookmarkEnd w:id="1"/>
    </w:p>
    <w:p w:rsidR="00345E4D" w:rsidRDefault="00345E4D" w:rsidP="00461B8D">
      <w:pPr>
        <w:spacing w:line="288" w:lineRule="auto"/>
        <w:rPr>
          <w:rFonts w:ascii="Arial" w:hAnsi="Arial" w:cs="Arial"/>
        </w:rPr>
      </w:pPr>
      <w:r>
        <w:rPr>
          <w:rFonts w:ascii="Arial" w:hAnsi="Arial" w:cs="Arial"/>
        </w:rPr>
        <w:t xml:space="preserve">ACDBA represents members involved in the Collections sector, either as contingent collectors or as debt purchasers.  </w:t>
      </w:r>
    </w:p>
    <w:p w:rsidR="00345E4D" w:rsidRDefault="00345E4D" w:rsidP="00461B8D">
      <w:pPr>
        <w:spacing w:line="288" w:lineRule="auto"/>
        <w:rPr>
          <w:rFonts w:ascii="Arial" w:hAnsi="Arial" w:cs="Arial"/>
        </w:rPr>
      </w:pPr>
    </w:p>
    <w:p w:rsidR="00345E4D" w:rsidRDefault="00345E4D" w:rsidP="00461B8D">
      <w:pPr>
        <w:spacing w:line="288" w:lineRule="auto"/>
        <w:rPr>
          <w:rFonts w:ascii="Arial" w:hAnsi="Arial" w:cs="Arial"/>
        </w:rPr>
      </w:pPr>
      <w:r>
        <w:rPr>
          <w:rFonts w:ascii="Arial" w:hAnsi="Arial" w:cs="Arial"/>
        </w:rPr>
        <w:t>This section briefly summarises the current industry position which establishes the basis for our proposal.  The matters covered are:</w:t>
      </w:r>
    </w:p>
    <w:p w:rsidR="00345E4D" w:rsidRDefault="00345E4D" w:rsidP="00461B8D">
      <w:pPr>
        <w:pStyle w:val="ListParagraph"/>
        <w:numPr>
          <w:ilvl w:val="0"/>
          <w:numId w:val="25"/>
        </w:numPr>
        <w:spacing w:line="288" w:lineRule="auto"/>
        <w:rPr>
          <w:rFonts w:ascii="Arial" w:hAnsi="Arial" w:cs="Arial"/>
        </w:rPr>
      </w:pPr>
      <w:r>
        <w:rPr>
          <w:rFonts w:ascii="Arial" w:hAnsi="Arial" w:cs="Arial"/>
        </w:rPr>
        <w:t>Collections/Field Agent Distinction</w:t>
      </w:r>
    </w:p>
    <w:p w:rsidR="00345E4D" w:rsidRDefault="00345E4D" w:rsidP="00461B8D">
      <w:pPr>
        <w:pStyle w:val="ListParagraph"/>
        <w:numPr>
          <w:ilvl w:val="0"/>
          <w:numId w:val="25"/>
        </w:numPr>
        <w:spacing w:line="288" w:lineRule="auto"/>
        <w:rPr>
          <w:rFonts w:ascii="Arial" w:hAnsi="Arial" w:cs="Arial"/>
        </w:rPr>
      </w:pPr>
      <w:r>
        <w:rPr>
          <w:rFonts w:ascii="Arial" w:hAnsi="Arial" w:cs="Arial"/>
        </w:rPr>
        <w:t>Collections Sector Profile, including</w:t>
      </w:r>
    </w:p>
    <w:p w:rsidR="00345E4D" w:rsidRDefault="00345E4D" w:rsidP="00491095">
      <w:pPr>
        <w:pStyle w:val="ListParagraph"/>
        <w:numPr>
          <w:ilvl w:val="1"/>
          <w:numId w:val="25"/>
        </w:numPr>
        <w:spacing w:line="288" w:lineRule="auto"/>
        <w:rPr>
          <w:rFonts w:ascii="Arial" w:hAnsi="Arial" w:cs="Arial"/>
        </w:rPr>
      </w:pPr>
      <w:r>
        <w:rPr>
          <w:rFonts w:ascii="Arial" w:hAnsi="Arial" w:cs="Arial"/>
        </w:rPr>
        <w:t>Service Delivery Methodology</w:t>
      </w:r>
    </w:p>
    <w:p w:rsidR="00345E4D" w:rsidRPr="00F239BD" w:rsidRDefault="00345E4D" w:rsidP="00491095">
      <w:pPr>
        <w:pStyle w:val="ListParagraph"/>
        <w:numPr>
          <w:ilvl w:val="1"/>
          <w:numId w:val="25"/>
        </w:numPr>
        <w:spacing w:line="288" w:lineRule="auto"/>
        <w:rPr>
          <w:rFonts w:ascii="Arial" w:hAnsi="Arial" w:cs="Arial"/>
        </w:rPr>
      </w:pPr>
      <w:r>
        <w:rPr>
          <w:rFonts w:ascii="Arial" w:hAnsi="Arial" w:cs="Arial"/>
        </w:rPr>
        <w:t>Regulatory Environment</w:t>
      </w:r>
    </w:p>
    <w:p w:rsidR="00345E4D" w:rsidRDefault="00345E4D" w:rsidP="00461B8D">
      <w:pPr>
        <w:spacing w:line="288" w:lineRule="auto"/>
        <w:rPr>
          <w:rFonts w:ascii="Arial" w:hAnsi="Arial" w:cs="Arial"/>
        </w:rPr>
      </w:pPr>
    </w:p>
    <w:p w:rsidR="00345E4D" w:rsidRPr="00F239BD" w:rsidRDefault="00345E4D" w:rsidP="00461B8D">
      <w:pPr>
        <w:pStyle w:val="Heading2"/>
        <w:spacing w:line="288" w:lineRule="auto"/>
      </w:pPr>
      <w:bookmarkStart w:id="2" w:name="_Toc310510814"/>
      <w:r w:rsidRPr="00F239BD">
        <w:t>Collections/Field Agent Distinction</w:t>
      </w:r>
      <w:bookmarkEnd w:id="2"/>
    </w:p>
    <w:p w:rsidR="00345E4D" w:rsidRDefault="00345E4D" w:rsidP="00461B8D">
      <w:pPr>
        <w:spacing w:line="288" w:lineRule="auto"/>
        <w:rPr>
          <w:rFonts w:ascii="Arial" w:hAnsi="Arial" w:cs="Arial"/>
        </w:rPr>
      </w:pPr>
      <w:r>
        <w:rPr>
          <w:rFonts w:ascii="Arial" w:hAnsi="Arial" w:cs="Arial"/>
        </w:rPr>
        <w:t>The</w:t>
      </w:r>
      <w:r w:rsidRPr="00872973">
        <w:rPr>
          <w:rFonts w:ascii="Arial" w:hAnsi="Arial" w:cs="Arial"/>
        </w:rPr>
        <w:t xml:space="preserve"> Options Paper</w:t>
      </w:r>
      <w:r>
        <w:rPr>
          <w:rFonts w:ascii="Arial" w:hAnsi="Arial" w:cs="Arial"/>
        </w:rPr>
        <w:t xml:space="preserve"> appropriately recognises the current scope and operations of the industry and that there have been significant changes over the past 10 years. </w:t>
      </w:r>
    </w:p>
    <w:p w:rsidR="00345E4D" w:rsidRDefault="00345E4D" w:rsidP="00461B8D">
      <w:pPr>
        <w:spacing w:line="288" w:lineRule="auto"/>
        <w:rPr>
          <w:rFonts w:ascii="Arial" w:hAnsi="Arial" w:cs="Arial"/>
        </w:rPr>
      </w:pPr>
    </w:p>
    <w:p w:rsidR="00345E4D" w:rsidRDefault="00345E4D" w:rsidP="00461B8D">
      <w:pPr>
        <w:spacing w:line="288" w:lineRule="auto"/>
        <w:rPr>
          <w:rFonts w:ascii="Arial" w:hAnsi="Arial" w:cs="Arial"/>
        </w:rPr>
      </w:pPr>
      <w:r>
        <w:rPr>
          <w:rFonts w:ascii="Arial" w:hAnsi="Arial" w:cs="Arial"/>
        </w:rPr>
        <w:t>In particular, the Options Paper acknowledges the two very distinct specialisations within the current industry, being:</w:t>
      </w:r>
    </w:p>
    <w:p w:rsidR="00345E4D" w:rsidRDefault="00345E4D" w:rsidP="00461B8D">
      <w:pPr>
        <w:spacing w:line="288" w:lineRule="auto"/>
        <w:rPr>
          <w:rFonts w:ascii="Arial" w:hAnsi="Arial" w:cs="Arial"/>
        </w:rPr>
      </w:pPr>
    </w:p>
    <w:p w:rsidR="00345E4D" w:rsidRDefault="00345E4D" w:rsidP="00461B8D">
      <w:pPr>
        <w:pStyle w:val="ListParagraph"/>
        <w:numPr>
          <w:ilvl w:val="0"/>
          <w:numId w:val="1"/>
        </w:numPr>
        <w:spacing w:line="288" w:lineRule="auto"/>
        <w:rPr>
          <w:rFonts w:ascii="Arial" w:hAnsi="Arial" w:cs="Arial"/>
        </w:rPr>
      </w:pPr>
      <w:r>
        <w:rPr>
          <w:rFonts w:ascii="Arial" w:hAnsi="Arial" w:cs="Arial"/>
        </w:rPr>
        <w:t>The Collections sector; and</w:t>
      </w:r>
    </w:p>
    <w:p w:rsidR="00345E4D" w:rsidRPr="005D27D8" w:rsidRDefault="00345E4D" w:rsidP="00461B8D">
      <w:pPr>
        <w:pStyle w:val="ListParagraph"/>
        <w:numPr>
          <w:ilvl w:val="0"/>
          <w:numId w:val="1"/>
        </w:numPr>
        <w:spacing w:line="288" w:lineRule="auto"/>
        <w:rPr>
          <w:rFonts w:ascii="Arial" w:hAnsi="Arial" w:cs="Arial"/>
        </w:rPr>
      </w:pPr>
      <w:r>
        <w:rPr>
          <w:rFonts w:ascii="Arial" w:hAnsi="Arial" w:cs="Arial"/>
        </w:rPr>
        <w:t>The Field Agents sector.</w:t>
      </w:r>
    </w:p>
    <w:p w:rsidR="00345E4D" w:rsidRDefault="00345E4D" w:rsidP="00461B8D">
      <w:pPr>
        <w:spacing w:line="288" w:lineRule="auto"/>
        <w:rPr>
          <w:rFonts w:ascii="Arial" w:hAnsi="Arial" w:cs="Arial"/>
        </w:rPr>
      </w:pPr>
    </w:p>
    <w:p w:rsidR="00345E4D" w:rsidRDefault="00345E4D" w:rsidP="00461B8D">
      <w:pPr>
        <w:spacing w:line="288" w:lineRule="auto"/>
        <w:rPr>
          <w:rFonts w:ascii="Arial" w:hAnsi="Arial" w:cs="Arial"/>
        </w:rPr>
      </w:pPr>
      <w:r>
        <w:rPr>
          <w:rFonts w:ascii="Arial" w:hAnsi="Arial" w:cs="Arial"/>
        </w:rPr>
        <w:t>The essential difference between those two specialisations is that Collections involves no face-to-face contact with consumers whereas the Field Agents specialisation involves actual face-to-face contact with consumers.  The two business models are very different.</w:t>
      </w:r>
    </w:p>
    <w:p w:rsidR="00345E4D" w:rsidRDefault="00345E4D" w:rsidP="00461B8D">
      <w:pPr>
        <w:spacing w:line="288" w:lineRule="auto"/>
        <w:rPr>
          <w:rFonts w:ascii="Arial" w:hAnsi="Arial" w:cs="Arial"/>
        </w:rPr>
      </w:pPr>
    </w:p>
    <w:p w:rsidR="00345E4D" w:rsidRPr="00BD03E4" w:rsidRDefault="00345E4D" w:rsidP="00461B8D">
      <w:pPr>
        <w:spacing w:line="288" w:lineRule="auto"/>
        <w:rPr>
          <w:rFonts w:ascii="Arial" w:hAnsi="Arial" w:cs="Arial"/>
        </w:rPr>
      </w:pPr>
      <w:r w:rsidRPr="00BD03E4">
        <w:rPr>
          <w:rFonts w:ascii="Arial" w:hAnsi="Arial" w:cs="Arial"/>
        </w:rPr>
        <w:t>As the Collections specialisation involves no face-to-face contact with consumers, we believe a negative licensing regime is appropriate, given no substantive evidence of inappropriate conduct in the sector.</w:t>
      </w:r>
    </w:p>
    <w:p w:rsidR="00345E4D" w:rsidRPr="00BD03E4" w:rsidRDefault="00345E4D" w:rsidP="00461B8D">
      <w:pPr>
        <w:spacing w:line="288" w:lineRule="auto"/>
        <w:rPr>
          <w:rFonts w:ascii="Arial" w:hAnsi="Arial" w:cs="Arial"/>
        </w:rPr>
      </w:pPr>
    </w:p>
    <w:p w:rsidR="00345E4D" w:rsidRPr="00BD03E4" w:rsidRDefault="00345E4D" w:rsidP="00461B8D">
      <w:pPr>
        <w:spacing w:line="288" w:lineRule="auto"/>
        <w:rPr>
          <w:rFonts w:ascii="Arial" w:hAnsi="Arial" w:cs="Arial"/>
        </w:rPr>
      </w:pPr>
      <w:r w:rsidRPr="00BD03E4">
        <w:rPr>
          <w:rFonts w:ascii="Arial" w:hAnsi="Arial" w:cs="Arial"/>
        </w:rPr>
        <w:t xml:space="preserve">We acknowledge, however, the Field Agents specialisation, involving actual face-to-face contact with consumers, may require separate consideration.  This specialisation generally involves small businesses with different operational requirements that may impact on the preferred regulatory regime.  </w:t>
      </w:r>
    </w:p>
    <w:p w:rsidR="00345E4D" w:rsidRPr="00BD03E4" w:rsidRDefault="00345E4D" w:rsidP="00461B8D">
      <w:pPr>
        <w:spacing w:line="288" w:lineRule="auto"/>
        <w:rPr>
          <w:rFonts w:ascii="Arial" w:hAnsi="Arial" w:cs="Arial"/>
        </w:rPr>
      </w:pPr>
    </w:p>
    <w:p w:rsidR="00345E4D" w:rsidRDefault="00345E4D" w:rsidP="00461B8D">
      <w:pPr>
        <w:spacing w:line="288" w:lineRule="auto"/>
        <w:rPr>
          <w:rFonts w:ascii="Arial" w:hAnsi="Arial" w:cs="Arial"/>
        </w:rPr>
      </w:pPr>
      <w:r w:rsidRPr="00BD03E4">
        <w:rPr>
          <w:rFonts w:ascii="Arial" w:hAnsi="Arial" w:cs="Arial"/>
        </w:rPr>
        <w:t>Regardless, we propose a negative licensing regime as an appropriate model for our sector.  This is because there is a range of legislation which governs our conduct, as does our contractual arrangements and all regulators would remain with the powers to take action against any collector who does not demonstrate appropriate standards.</w:t>
      </w:r>
    </w:p>
    <w:p w:rsidR="00345E4D" w:rsidRDefault="00345E4D" w:rsidP="00461B8D">
      <w:pPr>
        <w:spacing w:line="288" w:lineRule="auto"/>
        <w:rPr>
          <w:rFonts w:ascii="Arial" w:hAnsi="Arial" w:cs="Arial"/>
        </w:rPr>
      </w:pPr>
    </w:p>
    <w:p w:rsidR="00345E4D" w:rsidRDefault="00345E4D">
      <w:pPr>
        <w:jc w:val="left"/>
        <w:rPr>
          <w:rFonts w:ascii="Arial" w:hAnsi="Arial" w:cs="Arial"/>
          <w:b/>
          <w:bCs/>
          <w:i/>
          <w:iCs/>
          <w:color w:val="002060"/>
          <w:sz w:val="30"/>
          <w:szCs w:val="28"/>
        </w:rPr>
      </w:pPr>
      <w:r>
        <w:br w:type="page"/>
      </w:r>
    </w:p>
    <w:p w:rsidR="00345E4D" w:rsidRPr="00F239BD" w:rsidRDefault="00345E4D" w:rsidP="00461B8D">
      <w:pPr>
        <w:pStyle w:val="Heading2"/>
        <w:spacing w:line="288" w:lineRule="auto"/>
      </w:pPr>
      <w:bookmarkStart w:id="3" w:name="_Toc310510815"/>
      <w:r w:rsidRPr="00F239BD">
        <w:t>Collections Sector Profile</w:t>
      </w:r>
      <w:bookmarkEnd w:id="3"/>
    </w:p>
    <w:p w:rsidR="00345E4D" w:rsidRDefault="00345E4D" w:rsidP="00461B8D">
      <w:pPr>
        <w:spacing w:line="288" w:lineRule="auto"/>
        <w:rPr>
          <w:rFonts w:ascii="Arial" w:hAnsi="Arial" w:cs="Arial"/>
        </w:rPr>
      </w:pPr>
      <w:r>
        <w:rPr>
          <w:rFonts w:ascii="Arial" w:hAnsi="Arial" w:cs="Arial"/>
        </w:rPr>
        <w:t>To support our view our industry is mature and requires minimal regulation the following factors should be considered:</w:t>
      </w:r>
    </w:p>
    <w:p w:rsidR="00345E4D" w:rsidRPr="00A34375" w:rsidRDefault="00345E4D" w:rsidP="00461B8D">
      <w:pPr>
        <w:pStyle w:val="ListParagraph"/>
        <w:numPr>
          <w:ilvl w:val="0"/>
          <w:numId w:val="22"/>
        </w:numPr>
        <w:spacing w:line="288" w:lineRule="auto"/>
        <w:rPr>
          <w:rFonts w:ascii="Arial" w:hAnsi="Arial" w:cs="Arial"/>
        </w:rPr>
      </w:pPr>
      <w:r w:rsidRPr="00A34375">
        <w:rPr>
          <w:rFonts w:ascii="Arial" w:hAnsi="Arial" w:cs="Arial"/>
        </w:rPr>
        <w:t>Sector Demographics</w:t>
      </w:r>
    </w:p>
    <w:p w:rsidR="00345E4D" w:rsidRDefault="00345E4D" w:rsidP="00461B8D">
      <w:pPr>
        <w:pStyle w:val="ListParagraph"/>
        <w:numPr>
          <w:ilvl w:val="0"/>
          <w:numId w:val="22"/>
        </w:numPr>
        <w:spacing w:line="288" w:lineRule="auto"/>
        <w:rPr>
          <w:rFonts w:ascii="Arial" w:hAnsi="Arial" w:cs="Arial"/>
        </w:rPr>
      </w:pPr>
      <w:r>
        <w:rPr>
          <w:rFonts w:ascii="Arial" w:hAnsi="Arial" w:cs="Arial"/>
        </w:rPr>
        <w:t>Corporatisation</w:t>
      </w:r>
    </w:p>
    <w:p w:rsidR="00345E4D" w:rsidRDefault="00345E4D" w:rsidP="00461B8D">
      <w:pPr>
        <w:pStyle w:val="ListParagraph"/>
        <w:numPr>
          <w:ilvl w:val="0"/>
          <w:numId w:val="22"/>
        </w:numPr>
        <w:spacing w:line="288" w:lineRule="auto"/>
        <w:rPr>
          <w:rFonts w:ascii="Arial" w:hAnsi="Arial" w:cs="Arial"/>
        </w:rPr>
      </w:pPr>
      <w:r>
        <w:rPr>
          <w:rFonts w:ascii="Arial" w:hAnsi="Arial" w:cs="Arial"/>
        </w:rPr>
        <w:t>Commercial Relationships</w:t>
      </w:r>
    </w:p>
    <w:p w:rsidR="00345E4D" w:rsidRDefault="00345E4D" w:rsidP="00461B8D">
      <w:pPr>
        <w:pStyle w:val="ListParagraph"/>
        <w:numPr>
          <w:ilvl w:val="0"/>
          <w:numId w:val="22"/>
        </w:numPr>
        <w:spacing w:line="288" w:lineRule="auto"/>
        <w:rPr>
          <w:rFonts w:ascii="Arial" w:hAnsi="Arial" w:cs="Arial"/>
        </w:rPr>
      </w:pPr>
      <w:r>
        <w:rPr>
          <w:rFonts w:ascii="Arial" w:hAnsi="Arial" w:cs="Arial"/>
        </w:rPr>
        <w:t>Technology</w:t>
      </w:r>
    </w:p>
    <w:p w:rsidR="00345E4D" w:rsidRDefault="00345E4D" w:rsidP="00461B8D">
      <w:pPr>
        <w:pStyle w:val="ListParagraph"/>
        <w:numPr>
          <w:ilvl w:val="0"/>
          <w:numId w:val="22"/>
        </w:numPr>
        <w:spacing w:line="288" w:lineRule="auto"/>
        <w:rPr>
          <w:rFonts w:ascii="Arial" w:hAnsi="Arial" w:cs="Arial"/>
        </w:rPr>
      </w:pPr>
      <w:r>
        <w:rPr>
          <w:rFonts w:ascii="Arial" w:hAnsi="Arial" w:cs="Arial"/>
        </w:rPr>
        <w:t>Regulatory Environment</w:t>
      </w:r>
    </w:p>
    <w:p w:rsidR="00345E4D" w:rsidRDefault="00345E4D" w:rsidP="00461B8D">
      <w:pPr>
        <w:pStyle w:val="ListParagraph"/>
        <w:numPr>
          <w:ilvl w:val="0"/>
          <w:numId w:val="22"/>
        </w:numPr>
        <w:spacing w:line="288" w:lineRule="auto"/>
        <w:rPr>
          <w:rFonts w:ascii="Arial" w:hAnsi="Arial" w:cs="Arial"/>
        </w:rPr>
      </w:pPr>
      <w:r>
        <w:rPr>
          <w:rFonts w:ascii="Arial" w:hAnsi="Arial" w:cs="Arial"/>
        </w:rPr>
        <w:t>Complaints/Incidents data</w:t>
      </w:r>
    </w:p>
    <w:p w:rsidR="00345E4D" w:rsidRDefault="00345E4D" w:rsidP="00461B8D">
      <w:pPr>
        <w:spacing w:line="288" w:lineRule="auto"/>
        <w:rPr>
          <w:rFonts w:ascii="Arial" w:hAnsi="Arial" w:cs="Arial"/>
        </w:rPr>
      </w:pPr>
    </w:p>
    <w:p w:rsidR="00345E4D" w:rsidRDefault="00345E4D" w:rsidP="00461B8D">
      <w:pPr>
        <w:spacing w:line="288" w:lineRule="auto"/>
        <w:rPr>
          <w:rFonts w:ascii="Arial" w:hAnsi="Arial" w:cs="Arial"/>
        </w:rPr>
      </w:pPr>
      <w:r>
        <w:rPr>
          <w:rFonts w:ascii="Arial" w:hAnsi="Arial" w:cs="Arial"/>
        </w:rPr>
        <w:t>The k</w:t>
      </w:r>
      <w:r w:rsidRPr="008D464B">
        <w:rPr>
          <w:rFonts w:ascii="Arial" w:hAnsi="Arial" w:cs="Arial"/>
        </w:rPr>
        <w:t xml:space="preserve">ey points </w:t>
      </w:r>
      <w:r>
        <w:rPr>
          <w:rFonts w:ascii="Arial" w:hAnsi="Arial" w:cs="Arial"/>
        </w:rPr>
        <w:t xml:space="preserve">for consideration </w:t>
      </w:r>
      <w:r w:rsidRPr="008D464B">
        <w:rPr>
          <w:rFonts w:ascii="Arial" w:hAnsi="Arial" w:cs="Arial"/>
        </w:rPr>
        <w:t>are outlined below</w:t>
      </w:r>
      <w:r>
        <w:rPr>
          <w:rFonts w:ascii="Arial" w:hAnsi="Arial" w:cs="Arial"/>
        </w:rPr>
        <w:t>.</w:t>
      </w:r>
    </w:p>
    <w:p w:rsidR="00345E4D" w:rsidRPr="008D464B" w:rsidRDefault="00345E4D" w:rsidP="00461B8D">
      <w:pPr>
        <w:spacing w:line="288" w:lineRule="auto"/>
        <w:rPr>
          <w:rFonts w:ascii="Arial" w:hAnsi="Arial" w:cs="Arial"/>
        </w:rPr>
      </w:pPr>
    </w:p>
    <w:p w:rsidR="00345E4D" w:rsidRPr="00461B8D" w:rsidRDefault="00345E4D" w:rsidP="00461B8D">
      <w:pPr>
        <w:pStyle w:val="Heading3"/>
      </w:pPr>
      <w:bookmarkStart w:id="4" w:name="_Toc310510816"/>
      <w:r w:rsidRPr="00461B8D">
        <w:t>Sector Demographics</w:t>
      </w:r>
      <w:bookmarkEnd w:id="4"/>
    </w:p>
    <w:p w:rsidR="00345E4D" w:rsidRPr="00BD03E4" w:rsidRDefault="00345E4D" w:rsidP="00461B8D">
      <w:pPr>
        <w:spacing w:line="288" w:lineRule="auto"/>
        <w:rPr>
          <w:rFonts w:ascii="Arial" w:hAnsi="Arial" w:cs="Arial"/>
          <w:bCs/>
          <w:kern w:val="32"/>
          <w:szCs w:val="22"/>
        </w:rPr>
      </w:pPr>
      <w:r w:rsidRPr="00BD03E4">
        <w:rPr>
          <w:rFonts w:ascii="Arial" w:hAnsi="Arial" w:cs="Arial"/>
          <w:bCs/>
          <w:kern w:val="32"/>
          <w:szCs w:val="22"/>
        </w:rPr>
        <w:t>There are currently 15 members</w:t>
      </w:r>
      <w:r w:rsidRPr="00BD03E4">
        <w:rPr>
          <w:rStyle w:val="FootnoteReference"/>
          <w:rFonts w:ascii="Arial" w:hAnsi="Arial" w:cs="Arial"/>
          <w:bCs/>
          <w:kern w:val="32"/>
          <w:szCs w:val="22"/>
        </w:rPr>
        <w:footnoteReference w:id="1"/>
      </w:r>
      <w:r w:rsidRPr="00BD03E4">
        <w:rPr>
          <w:rFonts w:ascii="Arial" w:hAnsi="Arial" w:cs="Arial"/>
          <w:bCs/>
          <w:kern w:val="32"/>
          <w:szCs w:val="22"/>
        </w:rPr>
        <w:t xml:space="preserve"> of ACDBA – estimated to represent about 70% of the Australian Collections sector market.</w:t>
      </w:r>
    </w:p>
    <w:p w:rsidR="00345E4D" w:rsidRPr="00BD03E4" w:rsidRDefault="00345E4D" w:rsidP="00461B8D">
      <w:pPr>
        <w:spacing w:line="288" w:lineRule="auto"/>
        <w:rPr>
          <w:rFonts w:ascii="Arial" w:hAnsi="Arial" w:cs="Arial"/>
          <w:szCs w:val="22"/>
        </w:rPr>
      </w:pPr>
    </w:p>
    <w:p w:rsidR="00345E4D" w:rsidRPr="00BD03E4" w:rsidRDefault="00345E4D" w:rsidP="00461B8D">
      <w:pPr>
        <w:spacing w:line="288" w:lineRule="auto"/>
        <w:rPr>
          <w:rFonts w:ascii="Arial" w:hAnsi="Arial" w:cs="Arial"/>
          <w:szCs w:val="22"/>
        </w:rPr>
      </w:pPr>
      <w:r w:rsidRPr="00BD03E4">
        <w:rPr>
          <w:rFonts w:ascii="Arial" w:hAnsi="Arial" w:cs="Arial"/>
          <w:szCs w:val="22"/>
        </w:rPr>
        <w:t>ACDBA members as at 30 June 2011 collectively had 45 offices across Australia and 5 overseas offices with a total workforce comprising 1994 employees, of which 45.7% are engaged in contingent collections and 54.3% deployed to debt purchase collections.</w:t>
      </w:r>
    </w:p>
    <w:p w:rsidR="00345E4D" w:rsidRPr="00BD03E4" w:rsidRDefault="00345E4D" w:rsidP="00461B8D">
      <w:pPr>
        <w:spacing w:line="288" w:lineRule="auto"/>
        <w:rPr>
          <w:rFonts w:ascii="Arial" w:hAnsi="Arial" w:cs="Arial"/>
          <w:b/>
        </w:rPr>
      </w:pPr>
    </w:p>
    <w:p w:rsidR="00345E4D" w:rsidRPr="00A34375" w:rsidRDefault="00345E4D" w:rsidP="00461B8D">
      <w:pPr>
        <w:spacing w:line="288" w:lineRule="auto"/>
        <w:rPr>
          <w:rFonts w:ascii="Arial" w:hAnsi="Arial" w:cs="Arial"/>
        </w:rPr>
      </w:pPr>
      <w:r w:rsidRPr="00BD03E4">
        <w:rPr>
          <w:rFonts w:ascii="Arial" w:hAnsi="Arial" w:cs="Arial"/>
        </w:rPr>
        <w:t>We expect the overall workforce of the Collections sector taking into account those engaged by the smaller firms within the industry across Australia is in the order of 5000.</w:t>
      </w:r>
    </w:p>
    <w:p w:rsidR="00345E4D" w:rsidRPr="00A34375" w:rsidRDefault="00345E4D" w:rsidP="00461B8D">
      <w:pPr>
        <w:spacing w:line="288" w:lineRule="auto"/>
        <w:rPr>
          <w:rFonts w:ascii="Arial" w:hAnsi="Arial" w:cs="Arial"/>
        </w:rPr>
      </w:pPr>
    </w:p>
    <w:p w:rsidR="00345E4D" w:rsidRDefault="00345E4D" w:rsidP="00461B8D">
      <w:pPr>
        <w:spacing w:line="288" w:lineRule="auto"/>
        <w:rPr>
          <w:rFonts w:ascii="Arial" w:hAnsi="Arial" w:cs="Arial"/>
          <w:szCs w:val="22"/>
        </w:rPr>
      </w:pPr>
      <w:r w:rsidRPr="00A34375">
        <w:rPr>
          <w:rFonts w:ascii="Arial" w:hAnsi="Arial" w:cs="Arial"/>
        </w:rPr>
        <w:t>Despite the small number of people engaged in collection services, e</w:t>
      </w:r>
      <w:r w:rsidRPr="00A34375">
        <w:rPr>
          <w:rFonts w:ascii="Arial" w:hAnsi="Arial" w:cs="Arial"/>
          <w:szCs w:val="22"/>
        </w:rPr>
        <w:t>xtrapolation of our members’ data suggests as at 30 June 2011, the Australian Collections sector was actioning in excess of $13.6 billion in debt represented by 5.47 million files.</w:t>
      </w:r>
    </w:p>
    <w:p w:rsidR="00345E4D" w:rsidRDefault="00345E4D" w:rsidP="00461B8D">
      <w:pPr>
        <w:spacing w:line="288" w:lineRule="auto"/>
        <w:rPr>
          <w:rFonts w:ascii="Arial" w:hAnsi="Arial" w:cs="Arial"/>
          <w:szCs w:val="22"/>
        </w:rPr>
      </w:pPr>
    </w:p>
    <w:p w:rsidR="00345E4D" w:rsidRPr="00F7446F" w:rsidRDefault="00345E4D" w:rsidP="00461B8D">
      <w:pPr>
        <w:spacing w:line="288" w:lineRule="auto"/>
        <w:rPr>
          <w:rFonts w:ascii="Arial" w:hAnsi="Arial" w:cs="Arial"/>
        </w:rPr>
      </w:pPr>
      <w:r w:rsidRPr="00F7446F">
        <w:rPr>
          <w:rFonts w:ascii="Arial" w:hAnsi="Arial" w:cs="Arial"/>
        </w:rPr>
        <w:t xml:space="preserve">Annexure </w:t>
      </w:r>
      <w:r>
        <w:rPr>
          <w:rFonts w:ascii="Arial" w:hAnsi="Arial" w:cs="Arial"/>
        </w:rPr>
        <w:t>A</w:t>
      </w:r>
      <w:r w:rsidRPr="00F7446F">
        <w:rPr>
          <w:rFonts w:ascii="Arial" w:hAnsi="Arial" w:cs="Arial"/>
        </w:rPr>
        <w:t xml:space="preserve"> provides detailed Sector Demographics. </w:t>
      </w:r>
    </w:p>
    <w:p w:rsidR="00345E4D" w:rsidRDefault="00345E4D" w:rsidP="00461B8D">
      <w:pPr>
        <w:spacing w:line="288" w:lineRule="auto"/>
        <w:rPr>
          <w:rFonts w:ascii="Arial" w:hAnsi="Arial" w:cs="Arial"/>
          <w:b/>
        </w:rPr>
      </w:pPr>
    </w:p>
    <w:p w:rsidR="00345E4D" w:rsidRPr="00977C07" w:rsidRDefault="00345E4D" w:rsidP="00461B8D">
      <w:pPr>
        <w:pStyle w:val="Heading3"/>
      </w:pPr>
      <w:bookmarkStart w:id="5" w:name="_Toc310510817"/>
      <w:r w:rsidRPr="00977C07">
        <w:t>Corporatisation</w:t>
      </w:r>
      <w:bookmarkEnd w:id="5"/>
    </w:p>
    <w:p w:rsidR="00345E4D" w:rsidRDefault="00345E4D" w:rsidP="00461B8D">
      <w:pPr>
        <w:spacing w:line="288" w:lineRule="auto"/>
        <w:rPr>
          <w:rFonts w:ascii="Arial" w:hAnsi="Arial" w:cs="Arial"/>
        </w:rPr>
      </w:pPr>
      <w:r w:rsidRPr="00041158">
        <w:rPr>
          <w:rFonts w:ascii="Arial" w:hAnsi="Arial" w:cs="Arial"/>
        </w:rPr>
        <w:t xml:space="preserve">All </w:t>
      </w:r>
      <w:r>
        <w:rPr>
          <w:rFonts w:ascii="Arial" w:hAnsi="Arial" w:cs="Arial"/>
        </w:rPr>
        <w:t>our members are major corporations, some of which are publicly listed companies.  They all offer services on a national basis.</w:t>
      </w:r>
    </w:p>
    <w:p w:rsidR="00345E4D" w:rsidRDefault="00345E4D" w:rsidP="00461B8D">
      <w:pPr>
        <w:spacing w:line="288" w:lineRule="auto"/>
        <w:rPr>
          <w:rFonts w:ascii="Arial" w:hAnsi="Arial" w:cs="Arial"/>
        </w:rPr>
      </w:pPr>
    </w:p>
    <w:p w:rsidR="00345E4D" w:rsidRDefault="00345E4D" w:rsidP="00461B8D">
      <w:pPr>
        <w:spacing w:line="288" w:lineRule="auto"/>
        <w:rPr>
          <w:rFonts w:ascii="Arial" w:hAnsi="Arial" w:cs="Arial"/>
        </w:rPr>
      </w:pPr>
      <w:r>
        <w:rPr>
          <w:rFonts w:ascii="Arial" w:hAnsi="Arial" w:cs="Arial"/>
        </w:rPr>
        <w:t>The corporate structure has resulted in a compliance ethos where governance structures, service delivery standards and risk management are embedded in those companies.</w:t>
      </w:r>
    </w:p>
    <w:p w:rsidR="00345E4D" w:rsidRDefault="00345E4D" w:rsidP="00461B8D">
      <w:pPr>
        <w:spacing w:line="288" w:lineRule="auto"/>
        <w:rPr>
          <w:rFonts w:ascii="Arial" w:hAnsi="Arial" w:cs="Arial"/>
        </w:rPr>
      </w:pPr>
    </w:p>
    <w:p w:rsidR="00345E4D" w:rsidRDefault="00345E4D" w:rsidP="00461B8D">
      <w:pPr>
        <w:spacing w:line="288" w:lineRule="auto"/>
        <w:rPr>
          <w:rFonts w:ascii="Arial" w:hAnsi="Arial" w:cs="Arial"/>
        </w:rPr>
      </w:pPr>
      <w:r w:rsidRPr="00BD03E4">
        <w:rPr>
          <w:rFonts w:ascii="Arial" w:hAnsi="Arial" w:cs="Arial"/>
        </w:rPr>
        <w:t>It also means those corporations are subject to a range of Commonwealth and State laws that impact on governance, market practices and consumer protection standards.</w:t>
      </w:r>
    </w:p>
    <w:p w:rsidR="00345E4D" w:rsidRDefault="00345E4D" w:rsidP="00461B8D">
      <w:pPr>
        <w:spacing w:line="288" w:lineRule="auto"/>
        <w:rPr>
          <w:rFonts w:ascii="Arial" w:hAnsi="Arial" w:cs="Arial"/>
          <w:szCs w:val="22"/>
        </w:rPr>
      </w:pPr>
    </w:p>
    <w:p w:rsidR="00345E4D" w:rsidRDefault="00345E4D">
      <w:pPr>
        <w:jc w:val="left"/>
        <w:rPr>
          <w:rFonts w:ascii="Arial" w:hAnsi="Arial" w:cs="Arial"/>
          <w:b/>
          <w:szCs w:val="22"/>
        </w:rPr>
      </w:pPr>
      <w:r>
        <w:rPr>
          <w:rFonts w:ascii="Arial" w:hAnsi="Arial" w:cs="Arial"/>
          <w:b/>
          <w:szCs w:val="22"/>
        </w:rPr>
        <w:br w:type="page"/>
      </w:r>
    </w:p>
    <w:p w:rsidR="00345E4D" w:rsidRPr="00BD03E4" w:rsidRDefault="00345E4D" w:rsidP="00BD03E4">
      <w:pPr>
        <w:pStyle w:val="Heading3"/>
      </w:pPr>
      <w:bookmarkStart w:id="6" w:name="_Toc310510818"/>
      <w:r w:rsidRPr="00BD03E4">
        <w:t>Commercial Relationships</w:t>
      </w:r>
      <w:bookmarkEnd w:id="6"/>
    </w:p>
    <w:p w:rsidR="00345E4D" w:rsidRDefault="00345E4D" w:rsidP="00461B8D">
      <w:pPr>
        <w:spacing w:line="288" w:lineRule="auto"/>
        <w:rPr>
          <w:rFonts w:ascii="Arial" w:hAnsi="Arial" w:cs="Arial"/>
          <w:szCs w:val="22"/>
        </w:rPr>
      </w:pPr>
      <w:r>
        <w:rPr>
          <w:rFonts w:ascii="Arial" w:hAnsi="Arial" w:cs="Arial"/>
          <w:szCs w:val="22"/>
        </w:rPr>
        <w:t>Collectors and debt buyers have differing commercial relationships with the credit providers involved.</w:t>
      </w:r>
    </w:p>
    <w:p w:rsidR="00345E4D" w:rsidRDefault="00345E4D" w:rsidP="00461B8D">
      <w:pPr>
        <w:spacing w:line="288" w:lineRule="auto"/>
        <w:rPr>
          <w:rFonts w:ascii="Arial" w:hAnsi="Arial" w:cs="Arial"/>
          <w:szCs w:val="22"/>
        </w:rPr>
      </w:pPr>
    </w:p>
    <w:p w:rsidR="00345E4D" w:rsidRPr="0022201D" w:rsidRDefault="00345E4D" w:rsidP="00461B8D">
      <w:pPr>
        <w:spacing w:line="288" w:lineRule="auto"/>
        <w:rPr>
          <w:rFonts w:ascii="Arial" w:hAnsi="Arial" w:cs="Arial"/>
          <w:szCs w:val="22"/>
        </w:rPr>
      </w:pPr>
      <w:r w:rsidRPr="0022201D">
        <w:rPr>
          <w:rFonts w:ascii="Arial" w:hAnsi="Arial" w:cs="Arial"/>
          <w:szCs w:val="22"/>
        </w:rPr>
        <w:t>Under contingent collections, debt</w:t>
      </w:r>
      <w:r>
        <w:rPr>
          <w:rFonts w:ascii="Arial" w:hAnsi="Arial" w:cs="Arial"/>
          <w:szCs w:val="22"/>
        </w:rPr>
        <w:t>s</w:t>
      </w:r>
      <w:r w:rsidRPr="0022201D">
        <w:rPr>
          <w:rFonts w:ascii="Arial" w:hAnsi="Arial" w:cs="Arial"/>
          <w:szCs w:val="22"/>
        </w:rPr>
        <w:t xml:space="preserve"> remain owned by the original credit provider and the collector acts strictly under an agency agreement</w:t>
      </w:r>
      <w:r>
        <w:rPr>
          <w:rFonts w:ascii="Arial" w:hAnsi="Arial" w:cs="Arial"/>
          <w:szCs w:val="22"/>
        </w:rPr>
        <w:t xml:space="preserve"> (principal &amp; agent)</w:t>
      </w:r>
      <w:r w:rsidRPr="0022201D">
        <w:rPr>
          <w:rFonts w:ascii="Arial" w:hAnsi="Arial" w:cs="Arial"/>
          <w:szCs w:val="22"/>
        </w:rPr>
        <w:t xml:space="preserve"> to the credit provider.  </w:t>
      </w:r>
      <w:r>
        <w:rPr>
          <w:rFonts w:ascii="Arial" w:hAnsi="Arial" w:cs="Arial"/>
          <w:szCs w:val="22"/>
        </w:rPr>
        <w:t>T</w:t>
      </w:r>
      <w:r w:rsidRPr="0022201D">
        <w:rPr>
          <w:rFonts w:ascii="Arial" w:hAnsi="Arial" w:cs="Arial"/>
          <w:szCs w:val="22"/>
        </w:rPr>
        <w:t>here are service agreements in place between the credit provider and the agent collector specifying the required</w:t>
      </w:r>
      <w:r>
        <w:rPr>
          <w:rFonts w:ascii="Arial" w:hAnsi="Arial" w:cs="Arial"/>
          <w:szCs w:val="22"/>
        </w:rPr>
        <w:t xml:space="preserve"> collector</w:t>
      </w:r>
      <w:r w:rsidRPr="0022201D">
        <w:rPr>
          <w:rFonts w:ascii="Arial" w:hAnsi="Arial" w:cs="Arial"/>
          <w:szCs w:val="22"/>
        </w:rPr>
        <w:t xml:space="preserve"> conduct and account management standards to be maintained by the collection company.</w:t>
      </w:r>
    </w:p>
    <w:p w:rsidR="00345E4D" w:rsidRPr="0022201D" w:rsidRDefault="00345E4D" w:rsidP="00461B8D">
      <w:pPr>
        <w:spacing w:line="288" w:lineRule="auto"/>
        <w:rPr>
          <w:rFonts w:ascii="Arial" w:hAnsi="Arial" w:cs="Arial"/>
          <w:szCs w:val="22"/>
        </w:rPr>
      </w:pPr>
    </w:p>
    <w:p w:rsidR="00345E4D" w:rsidRPr="0022201D" w:rsidRDefault="00345E4D" w:rsidP="00461B8D">
      <w:pPr>
        <w:spacing w:line="288" w:lineRule="auto"/>
        <w:rPr>
          <w:rFonts w:ascii="Arial" w:hAnsi="Arial" w:cs="Arial"/>
          <w:szCs w:val="22"/>
        </w:rPr>
      </w:pPr>
      <w:r w:rsidRPr="0022201D">
        <w:rPr>
          <w:rFonts w:ascii="Arial" w:hAnsi="Arial" w:cs="Arial"/>
          <w:szCs w:val="22"/>
        </w:rPr>
        <w:t xml:space="preserve">Under assignment agreements between credit providers and debt buyers, debt buyers are contractually only responsible for conduct post the assignment </w:t>
      </w:r>
      <w:r>
        <w:rPr>
          <w:rFonts w:ascii="Arial" w:hAnsi="Arial" w:cs="Arial"/>
          <w:szCs w:val="22"/>
        </w:rPr>
        <w:t xml:space="preserve">of the debt </w:t>
      </w:r>
      <w:r w:rsidRPr="0022201D">
        <w:rPr>
          <w:rFonts w:ascii="Arial" w:hAnsi="Arial" w:cs="Arial"/>
          <w:szCs w:val="22"/>
        </w:rPr>
        <w:t xml:space="preserve">from the lender.  Given the volumes of assigned debts per annum, the originating credit provider retains all the documentation generated up to the point of assignment. </w:t>
      </w:r>
    </w:p>
    <w:p w:rsidR="00345E4D" w:rsidRPr="0022201D" w:rsidRDefault="00345E4D" w:rsidP="00461B8D">
      <w:pPr>
        <w:spacing w:line="288" w:lineRule="auto"/>
        <w:rPr>
          <w:rFonts w:ascii="Arial" w:hAnsi="Arial" w:cs="Arial"/>
          <w:szCs w:val="22"/>
        </w:rPr>
      </w:pPr>
    </w:p>
    <w:p w:rsidR="00345E4D" w:rsidRDefault="00345E4D" w:rsidP="00461B8D">
      <w:pPr>
        <w:spacing w:line="288" w:lineRule="auto"/>
        <w:rPr>
          <w:rFonts w:ascii="Arial" w:hAnsi="Arial" w:cs="Arial"/>
          <w:szCs w:val="22"/>
        </w:rPr>
      </w:pPr>
      <w:r w:rsidRPr="0022201D">
        <w:rPr>
          <w:rFonts w:ascii="Arial" w:hAnsi="Arial" w:cs="Arial"/>
          <w:szCs w:val="22"/>
        </w:rPr>
        <w:t xml:space="preserve">There are a range of reasons for this, both legal and practical, including Privacy Act compliance, protection of commercially sensitive assessment and decisioning processes and document retention obligations under a range of legislation including the </w:t>
      </w:r>
      <w:r>
        <w:rPr>
          <w:rFonts w:ascii="Arial" w:hAnsi="Arial" w:cs="Arial"/>
          <w:szCs w:val="22"/>
        </w:rPr>
        <w:t xml:space="preserve">National </w:t>
      </w:r>
      <w:r w:rsidRPr="0022201D">
        <w:rPr>
          <w:rFonts w:ascii="Arial" w:hAnsi="Arial" w:cs="Arial"/>
          <w:szCs w:val="22"/>
        </w:rPr>
        <w:t xml:space="preserve">Credit Code and the Anti-Money Laundering and Counter Terrorism Financing Act.  </w:t>
      </w:r>
    </w:p>
    <w:p w:rsidR="00345E4D" w:rsidRDefault="00345E4D" w:rsidP="00461B8D">
      <w:pPr>
        <w:spacing w:line="288" w:lineRule="auto"/>
        <w:rPr>
          <w:rFonts w:ascii="Arial" w:hAnsi="Arial" w:cs="Arial"/>
          <w:szCs w:val="22"/>
        </w:rPr>
      </w:pPr>
    </w:p>
    <w:p w:rsidR="00345E4D" w:rsidRPr="0022201D" w:rsidRDefault="00345E4D" w:rsidP="00461B8D">
      <w:pPr>
        <w:spacing w:line="288" w:lineRule="auto"/>
        <w:rPr>
          <w:rFonts w:ascii="Arial" w:hAnsi="Arial" w:cs="Arial"/>
          <w:szCs w:val="22"/>
        </w:rPr>
      </w:pPr>
      <w:r w:rsidRPr="0022201D">
        <w:rPr>
          <w:rFonts w:ascii="Arial" w:hAnsi="Arial" w:cs="Arial"/>
          <w:szCs w:val="22"/>
        </w:rPr>
        <w:t>Debt buyers undertake debt recovery processes relating to charged off or non-performing accounts either directly or through related entities which are licensed as commercial agents under State and Territory licensing regimes.</w:t>
      </w:r>
    </w:p>
    <w:p w:rsidR="00345E4D" w:rsidRPr="0022201D" w:rsidRDefault="00345E4D" w:rsidP="00461B8D">
      <w:pPr>
        <w:spacing w:line="288" w:lineRule="auto"/>
        <w:rPr>
          <w:rFonts w:ascii="Arial" w:hAnsi="Arial" w:cs="Arial"/>
          <w:szCs w:val="22"/>
        </w:rPr>
      </w:pPr>
    </w:p>
    <w:p w:rsidR="00345E4D" w:rsidRPr="00977C07" w:rsidRDefault="00345E4D" w:rsidP="00461B8D">
      <w:pPr>
        <w:pStyle w:val="Heading3"/>
      </w:pPr>
      <w:bookmarkStart w:id="7" w:name="_Toc310510819"/>
      <w:r w:rsidRPr="00977C07">
        <w:t>Technology</w:t>
      </w:r>
      <w:bookmarkEnd w:id="7"/>
    </w:p>
    <w:p w:rsidR="00345E4D" w:rsidRDefault="00345E4D" w:rsidP="00461B8D">
      <w:pPr>
        <w:spacing w:line="288" w:lineRule="auto"/>
        <w:rPr>
          <w:rFonts w:ascii="Arial" w:hAnsi="Arial" w:cs="Arial"/>
        </w:rPr>
      </w:pPr>
      <w:r>
        <w:rPr>
          <w:rFonts w:ascii="Arial" w:hAnsi="Arial" w:cs="Arial"/>
        </w:rPr>
        <w:t xml:space="preserve">The rapid development of technology has resulted in approximately 70% of collection action being taken through phone calls, SMS and texts.  </w:t>
      </w:r>
    </w:p>
    <w:p w:rsidR="00345E4D" w:rsidRDefault="00345E4D" w:rsidP="00461B8D">
      <w:pPr>
        <w:spacing w:line="288" w:lineRule="auto"/>
        <w:rPr>
          <w:rFonts w:ascii="Arial" w:hAnsi="Arial" w:cs="Arial"/>
        </w:rPr>
      </w:pPr>
    </w:p>
    <w:p w:rsidR="00345E4D" w:rsidRDefault="00345E4D" w:rsidP="00461B8D">
      <w:pPr>
        <w:spacing w:line="288" w:lineRule="auto"/>
        <w:rPr>
          <w:rFonts w:ascii="Arial" w:hAnsi="Arial" w:cs="Arial"/>
        </w:rPr>
      </w:pPr>
      <w:r>
        <w:rPr>
          <w:rFonts w:ascii="Arial" w:hAnsi="Arial" w:cs="Arial"/>
        </w:rPr>
        <w:t>Technology allows our members to work across jurisdictions from central offices.  It also allows for much closer scrutiny of collector conduct through call recording and actions audit trails.  Both the creditors and debtors benefit from internet access to their accounts and online payment methodologies.</w:t>
      </w:r>
    </w:p>
    <w:p w:rsidR="00345E4D" w:rsidRPr="00411141" w:rsidRDefault="00345E4D" w:rsidP="00461B8D">
      <w:pPr>
        <w:spacing w:line="288" w:lineRule="auto"/>
        <w:rPr>
          <w:rFonts w:ascii="Arial" w:hAnsi="Arial" w:cs="Arial"/>
        </w:rPr>
      </w:pPr>
      <w:r>
        <w:rPr>
          <w:rFonts w:ascii="Arial" w:hAnsi="Arial" w:cs="Arial"/>
        </w:rPr>
        <w:br/>
        <w:t>Annexure B provides further detail on our sector’s profile.</w:t>
      </w:r>
    </w:p>
    <w:p w:rsidR="00345E4D" w:rsidRDefault="00345E4D" w:rsidP="00461B8D">
      <w:pPr>
        <w:spacing w:line="288" w:lineRule="auto"/>
        <w:jc w:val="left"/>
      </w:pPr>
    </w:p>
    <w:p w:rsidR="00345E4D" w:rsidRPr="00F239BD" w:rsidRDefault="00345E4D" w:rsidP="005E39A6">
      <w:pPr>
        <w:pStyle w:val="Heading3"/>
      </w:pPr>
      <w:bookmarkStart w:id="8" w:name="_Toc310510820"/>
      <w:r w:rsidRPr="00F239BD">
        <w:t>Regulatory Environment</w:t>
      </w:r>
      <w:bookmarkEnd w:id="8"/>
    </w:p>
    <w:p w:rsidR="00345E4D" w:rsidRDefault="00345E4D" w:rsidP="00461B8D">
      <w:pPr>
        <w:spacing w:line="288" w:lineRule="auto"/>
        <w:jc w:val="left"/>
        <w:rPr>
          <w:rFonts w:ascii="Arial" w:hAnsi="Arial" w:cs="Arial"/>
        </w:rPr>
      </w:pPr>
      <w:r>
        <w:rPr>
          <w:rFonts w:ascii="Arial" w:hAnsi="Arial" w:cs="Arial"/>
        </w:rPr>
        <w:t>Our members are subject to a broad range of national regulation, including key laws such as:</w:t>
      </w:r>
    </w:p>
    <w:p w:rsidR="00345E4D" w:rsidRDefault="00345E4D" w:rsidP="00461B8D">
      <w:pPr>
        <w:pStyle w:val="ListParagraph"/>
        <w:numPr>
          <w:ilvl w:val="0"/>
          <w:numId w:val="24"/>
        </w:numPr>
        <w:spacing w:line="288" w:lineRule="auto"/>
        <w:jc w:val="left"/>
        <w:rPr>
          <w:rFonts w:ascii="Arial" w:hAnsi="Arial" w:cs="Arial"/>
        </w:rPr>
      </w:pPr>
      <w:r>
        <w:rPr>
          <w:rFonts w:ascii="Arial" w:hAnsi="Arial" w:cs="Arial"/>
        </w:rPr>
        <w:t>Corporations Law</w:t>
      </w:r>
    </w:p>
    <w:p w:rsidR="00345E4D" w:rsidRDefault="00345E4D" w:rsidP="00461B8D">
      <w:pPr>
        <w:pStyle w:val="ListParagraph"/>
        <w:numPr>
          <w:ilvl w:val="0"/>
          <w:numId w:val="24"/>
        </w:numPr>
        <w:spacing w:line="288" w:lineRule="auto"/>
        <w:jc w:val="left"/>
        <w:rPr>
          <w:rFonts w:ascii="Arial" w:hAnsi="Arial" w:cs="Arial"/>
        </w:rPr>
      </w:pPr>
      <w:r>
        <w:rPr>
          <w:rFonts w:ascii="Arial" w:hAnsi="Arial" w:cs="Arial"/>
        </w:rPr>
        <w:t>National Consumer Credit Protection Act – for those collecting consumer credit debt</w:t>
      </w:r>
    </w:p>
    <w:p w:rsidR="00345E4D" w:rsidRDefault="00345E4D" w:rsidP="00461B8D">
      <w:pPr>
        <w:pStyle w:val="ListParagraph"/>
        <w:numPr>
          <w:ilvl w:val="0"/>
          <w:numId w:val="24"/>
        </w:numPr>
        <w:spacing w:line="288" w:lineRule="auto"/>
        <w:jc w:val="left"/>
        <w:rPr>
          <w:rFonts w:ascii="Arial" w:hAnsi="Arial" w:cs="Arial"/>
        </w:rPr>
      </w:pPr>
      <w:r>
        <w:rPr>
          <w:rFonts w:ascii="Arial" w:hAnsi="Arial" w:cs="Arial"/>
        </w:rPr>
        <w:t>Anti-money Laundering &amp; Counter Terrorism Financing Act</w:t>
      </w:r>
    </w:p>
    <w:p w:rsidR="00345E4D" w:rsidRDefault="00345E4D" w:rsidP="00461B8D">
      <w:pPr>
        <w:pStyle w:val="ListParagraph"/>
        <w:numPr>
          <w:ilvl w:val="0"/>
          <w:numId w:val="24"/>
        </w:numPr>
        <w:spacing w:line="288" w:lineRule="auto"/>
        <w:jc w:val="left"/>
        <w:rPr>
          <w:rFonts w:ascii="Arial" w:hAnsi="Arial" w:cs="Arial"/>
        </w:rPr>
      </w:pPr>
      <w:r>
        <w:rPr>
          <w:rFonts w:ascii="Arial" w:hAnsi="Arial" w:cs="Arial"/>
        </w:rPr>
        <w:t>Australian Consumer Law</w:t>
      </w:r>
    </w:p>
    <w:p w:rsidR="00345E4D" w:rsidRPr="00632BCE" w:rsidRDefault="00345E4D" w:rsidP="00461B8D">
      <w:pPr>
        <w:pStyle w:val="ListParagraph"/>
        <w:numPr>
          <w:ilvl w:val="0"/>
          <w:numId w:val="24"/>
        </w:numPr>
        <w:spacing w:line="288" w:lineRule="auto"/>
        <w:jc w:val="left"/>
        <w:rPr>
          <w:rFonts w:ascii="Arial" w:hAnsi="Arial" w:cs="Arial"/>
        </w:rPr>
      </w:pPr>
      <w:r>
        <w:rPr>
          <w:rFonts w:ascii="Arial" w:hAnsi="Arial" w:cs="Arial"/>
        </w:rPr>
        <w:t>Privacy Act</w:t>
      </w:r>
    </w:p>
    <w:p w:rsidR="00345E4D" w:rsidRDefault="00345E4D" w:rsidP="00461B8D">
      <w:pPr>
        <w:spacing w:line="288" w:lineRule="auto"/>
        <w:jc w:val="left"/>
        <w:rPr>
          <w:rFonts w:ascii="Arial" w:hAnsi="Arial" w:cs="Arial"/>
        </w:rPr>
      </w:pPr>
    </w:p>
    <w:p w:rsidR="00345E4D" w:rsidRDefault="00345E4D" w:rsidP="00491095">
      <w:pPr>
        <w:spacing w:line="288" w:lineRule="auto"/>
        <w:rPr>
          <w:rFonts w:ascii="Arial" w:hAnsi="Arial" w:cs="Arial"/>
        </w:rPr>
      </w:pPr>
      <w:r w:rsidRPr="00BD03E4">
        <w:rPr>
          <w:rFonts w:ascii="Arial" w:hAnsi="Arial" w:cs="Arial"/>
        </w:rPr>
        <w:t xml:space="preserve">Given our members work across </w:t>
      </w:r>
      <w:r>
        <w:rPr>
          <w:rFonts w:ascii="Arial" w:hAnsi="Arial" w:cs="Arial"/>
        </w:rPr>
        <w:t>jurisdiction</w:t>
      </w:r>
      <w:r w:rsidRPr="00BD03E4">
        <w:rPr>
          <w:rFonts w:ascii="Arial" w:hAnsi="Arial" w:cs="Arial"/>
        </w:rPr>
        <w:t>s and are subject to a range of national laws, a negative licensing regime will not detract from existing governance, market practices and consumer protection compliance obligations.</w:t>
      </w:r>
    </w:p>
    <w:p w:rsidR="00345E4D" w:rsidRDefault="00345E4D" w:rsidP="00461B8D">
      <w:pPr>
        <w:spacing w:line="288" w:lineRule="auto"/>
        <w:jc w:val="left"/>
        <w:rPr>
          <w:rFonts w:ascii="Arial" w:hAnsi="Arial" w:cs="Arial"/>
        </w:rPr>
      </w:pPr>
    </w:p>
    <w:p w:rsidR="00345E4D" w:rsidRDefault="00345E4D" w:rsidP="00461B8D">
      <w:pPr>
        <w:spacing w:line="288" w:lineRule="auto"/>
        <w:jc w:val="left"/>
        <w:rPr>
          <w:rFonts w:ascii="Arial" w:hAnsi="Arial" w:cs="Arial"/>
        </w:rPr>
      </w:pPr>
      <w:r>
        <w:rPr>
          <w:rFonts w:ascii="Arial" w:hAnsi="Arial" w:cs="Arial"/>
        </w:rPr>
        <w:t>Annexure C provides further detail on ACDBA’s concerns with the current regulatory environment.</w:t>
      </w:r>
    </w:p>
    <w:p w:rsidR="00345E4D" w:rsidRDefault="00345E4D" w:rsidP="00461B8D">
      <w:pPr>
        <w:spacing w:line="288" w:lineRule="auto"/>
        <w:jc w:val="left"/>
        <w:rPr>
          <w:rFonts w:ascii="Arial" w:hAnsi="Arial" w:cs="Arial"/>
        </w:rPr>
      </w:pPr>
    </w:p>
    <w:p w:rsidR="00345E4D" w:rsidRPr="00696B20" w:rsidRDefault="00345E4D" w:rsidP="00461B8D">
      <w:pPr>
        <w:pStyle w:val="Heading3"/>
      </w:pPr>
      <w:bookmarkStart w:id="9" w:name="_Toc310510821"/>
      <w:r w:rsidRPr="00696B20">
        <w:t>Complaints/Incidents Data</w:t>
      </w:r>
      <w:bookmarkEnd w:id="9"/>
    </w:p>
    <w:p w:rsidR="00345E4D" w:rsidRPr="00696B20" w:rsidRDefault="00345E4D" w:rsidP="00461B8D">
      <w:pPr>
        <w:spacing w:line="288" w:lineRule="auto"/>
        <w:rPr>
          <w:rFonts w:ascii="Arial" w:hAnsi="Arial" w:cs="Arial"/>
          <w:szCs w:val="22"/>
        </w:rPr>
      </w:pPr>
      <w:r w:rsidRPr="00696B20">
        <w:rPr>
          <w:rFonts w:ascii="Arial" w:hAnsi="Arial" w:cs="Arial"/>
          <w:szCs w:val="22"/>
        </w:rPr>
        <w:t>ACDBA members view incidents as any matter requiring some form of investigation.  They are not necessarily complaints, although some matters do become complaints.</w:t>
      </w:r>
    </w:p>
    <w:p w:rsidR="00345E4D" w:rsidRPr="00696B20" w:rsidRDefault="00345E4D" w:rsidP="00461B8D">
      <w:pPr>
        <w:spacing w:line="288" w:lineRule="auto"/>
        <w:rPr>
          <w:rFonts w:ascii="Arial" w:hAnsi="Arial" w:cs="Arial"/>
          <w:szCs w:val="22"/>
        </w:rPr>
      </w:pPr>
    </w:p>
    <w:p w:rsidR="00345E4D" w:rsidRPr="00696B20" w:rsidRDefault="00345E4D" w:rsidP="00461B8D">
      <w:pPr>
        <w:spacing w:line="288" w:lineRule="auto"/>
        <w:rPr>
          <w:rFonts w:ascii="Arial" w:hAnsi="Arial" w:cs="Arial"/>
        </w:rPr>
      </w:pPr>
      <w:r w:rsidRPr="00696B20">
        <w:rPr>
          <w:rFonts w:ascii="Arial" w:hAnsi="Arial" w:cs="Arial"/>
          <w:szCs w:val="22"/>
        </w:rPr>
        <w:t>In the financial year ended 30 June 2011, ACDBA members able to provide detailed analysis of their activities in relation to some 3.6 million accounts reported making a total of 43.9 million contacts with debtors.</w:t>
      </w:r>
    </w:p>
    <w:p w:rsidR="00345E4D" w:rsidRPr="00696B20" w:rsidRDefault="00345E4D" w:rsidP="00461B8D">
      <w:pPr>
        <w:spacing w:line="288" w:lineRule="auto"/>
        <w:rPr>
          <w:rFonts w:ascii="Arial" w:hAnsi="Arial" w:cs="Arial"/>
          <w:szCs w:val="22"/>
        </w:rPr>
      </w:pPr>
    </w:p>
    <w:p w:rsidR="00345E4D" w:rsidRPr="00696B20" w:rsidRDefault="00345E4D" w:rsidP="00461B8D">
      <w:pPr>
        <w:spacing w:line="288" w:lineRule="auto"/>
        <w:rPr>
          <w:rFonts w:ascii="Arial" w:hAnsi="Arial" w:cs="Arial"/>
          <w:szCs w:val="22"/>
        </w:rPr>
      </w:pPr>
      <w:r w:rsidRPr="00696B20">
        <w:rPr>
          <w:rFonts w:ascii="Arial" w:hAnsi="Arial" w:cs="Arial"/>
          <w:szCs w:val="22"/>
        </w:rPr>
        <w:t>The total number of incidents reported when compared to the total number of contacts made in the period reveals a very low incident rate of 0.007% for the Collections sector.</w:t>
      </w:r>
    </w:p>
    <w:p w:rsidR="00345E4D" w:rsidRPr="00696B20" w:rsidRDefault="00345E4D" w:rsidP="00461B8D">
      <w:pPr>
        <w:spacing w:line="288" w:lineRule="auto"/>
        <w:rPr>
          <w:rFonts w:ascii="Arial" w:hAnsi="Arial" w:cs="Arial"/>
          <w:szCs w:val="22"/>
        </w:rPr>
      </w:pPr>
    </w:p>
    <w:p w:rsidR="00345E4D" w:rsidRDefault="00345E4D" w:rsidP="00461B8D">
      <w:pPr>
        <w:spacing w:line="288" w:lineRule="auto"/>
        <w:rPr>
          <w:rFonts w:ascii="Arial" w:hAnsi="Arial" w:cs="Arial"/>
          <w:szCs w:val="22"/>
        </w:rPr>
      </w:pPr>
      <w:r w:rsidRPr="00696B20">
        <w:rPr>
          <w:rFonts w:ascii="Arial" w:hAnsi="Arial" w:cs="Arial"/>
          <w:szCs w:val="22"/>
        </w:rPr>
        <w:t>The incident rate is actually significantly lower again when an appropriate adjustment is made for those incidents reported where there was no basis for reporting or there was insufficient detail to permit investigation (1224 incidents</w:t>
      </w:r>
      <w:r>
        <w:rPr>
          <w:rFonts w:ascii="Arial" w:hAnsi="Arial" w:cs="Arial"/>
          <w:szCs w:val="22"/>
        </w:rPr>
        <w:t xml:space="preserve"> out of a total of 3,288 reported</w:t>
      </w:r>
      <w:r w:rsidRPr="00696B20">
        <w:rPr>
          <w:rFonts w:ascii="Arial" w:hAnsi="Arial" w:cs="Arial"/>
          <w:szCs w:val="22"/>
        </w:rPr>
        <w:t>).  The adjusted incident rate is then 0.005%.</w:t>
      </w:r>
    </w:p>
    <w:p w:rsidR="00345E4D" w:rsidRDefault="00345E4D" w:rsidP="005E39A6">
      <w:pPr>
        <w:spacing w:line="288" w:lineRule="auto"/>
        <w:rPr>
          <w:rFonts w:ascii="Arial" w:hAnsi="Arial" w:cs="Arial"/>
          <w:szCs w:val="22"/>
        </w:rPr>
      </w:pPr>
    </w:p>
    <w:p w:rsidR="00345E4D" w:rsidRDefault="00345E4D" w:rsidP="005E39A6">
      <w:pPr>
        <w:spacing w:line="288" w:lineRule="auto"/>
        <w:rPr>
          <w:rFonts w:ascii="Arial" w:hAnsi="Arial" w:cs="Arial"/>
          <w:szCs w:val="22"/>
        </w:rPr>
      </w:pPr>
      <w:r w:rsidRPr="00696B20">
        <w:rPr>
          <w:rFonts w:ascii="Arial" w:hAnsi="Arial" w:cs="Arial"/>
          <w:szCs w:val="22"/>
        </w:rPr>
        <w:t xml:space="preserve">Our complaints data speaks for itself.  It </w:t>
      </w:r>
      <w:r>
        <w:rPr>
          <w:rFonts w:ascii="Arial" w:hAnsi="Arial" w:cs="Arial"/>
          <w:szCs w:val="22"/>
        </w:rPr>
        <w:t>would be</w:t>
      </w:r>
      <w:r w:rsidRPr="00696B20">
        <w:rPr>
          <w:rFonts w:ascii="Arial" w:hAnsi="Arial" w:cs="Arial"/>
          <w:szCs w:val="22"/>
        </w:rPr>
        <w:t xml:space="preserve"> one of the lowest across any consumer facing industry, much less one that operates in a challenging environment.  It clearly points to a professional collections industry</w:t>
      </w:r>
      <w:r w:rsidRPr="00BD03E4">
        <w:rPr>
          <w:rFonts w:ascii="Arial" w:hAnsi="Arial" w:cs="Arial"/>
          <w:szCs w:val="22"/>
        </w:rPr>
        <w:t>, warranting no specific collection industry regulatory intervention.</w:t>
      </w:r>
      <w:r>
        <w:rPr>
          <w:rFonts w:ascii="Arial" w:hAnsi="Arial" w:cs="Arial"/>
          <w:szCs w:val="22"/>
        </w:rPr>
        <w:t xml:space="preserve"> </w:t>
      </w:r>
    </w:p>
    <w:p w:rsidR="00345E4D" w:rsidRDefault="00345E4D" w:rsidP="00461B8D">
      <w:pPr>
        <w:spacing w:line="288" w:lineRule="auto"/>
        <w:rPr>
          <w:rFonts w:ascii="Arial" w:hAnsi="Arial" w:cs="Arial"/>
          <w:szCs w:val="22"/>
        </w:rPr>
      </w:pPr>
    </w:p>
    <w:p w:rsidR="00345E4D" w:rsidRDefault="00345E4D" w:rsidP="005E39A6">
      <w:pPr>
        <w:spacing w:line="288" w:lineRule="auto"/>
        <w:rPr>
          <w:rStyle w:val="Emphasis"/>
          <w:rFonts w:ascii="Arial" w:hAnsi="Arial" w:cs="Arial"/>
          <w:i w:val="0"/>
        </w:rPr>
      </w:pPr>
      <w:r w:rsidRPr="005E39A6">
        <w:rPr>
          <w:rStyle w:val="Emphasis"/>
          <w:rFonts w:ascii="Arial" w:hAnsi="Arial" w:cs="Arial"/>
          <w:i w:val="0"/>
        </w:rPr>
        <w:t xml:space="preserve">To further validate our view </w:t>
      </w:r>
      <w:r>
        <w:rPr>
          <w:rStyle w:val="Emphasis"/>
          <w:rFonts w:ascii="Arial" w:hAnsi="Arial" w:cs="Arial"/>
          <w:i w:val="0"/>
        </w:rPr>
        <w:t xml:space="preserve">neither </w:t>
      </w:r>
      <w:r w:rsidRPr="005E39A6">
        <w:rPr>
          <w:rStyle w:val="Emphasis"/>
          <w:rFonts w:ascii="Arial" w:hAnsi="Arial" w:cs="Arial"/>
          <w:i w:val="0"/>
        </w:rPr>
        <w:t xml:space="preserve">the Financial Services Ombudsman </w:t>
      </w:r>
      <w:r w:rsidRPr="0089328C">
        <w:rPr>
          <w:rStyle w:val="Emphasis"/>
          <w:rFonts w:ascii="Arial" w:hAnsi="Arial" w:cs="Arial"/>
          <w:i w:val="0"/>
        </w:rPr>
        <w:t xml:space="preserve">(FOS) </w:t>
      </w:r>
      <w:r w:rsidRPr="005E39A6">
        <w:rPr>
          <w:rStyle w:val="Emphasis"/>
          <w:rFonts w:ascii="Arial" w:hAnsi="Arial" w:cs="Arial"/>
          <w:i w:val="0"/>
        </w:rPr>
        <w:t>nor the Credit Services Ombudsman</w:t>
      </w:r>
      <w:r>
        <w:rPr>
          <w:rStyle w:val="Emphasis"/>
          <w:rFonts w:ascii="Arial" w:hAnsi="Arial" w:cs="Arial"/>
          <w:i w:val="0"/>
        </w:rPr>
        <w:t xml:space="preserve"> </w:t>
      </w:r>
      <w:r w:rsidRPr="0089328C">
        <w:rPr>
          <w:rStyle w:val="Emphasis"/>
          <w:rFonts w:ascii="Arial" w:hAnsi="Arial" w:cs="Arial"/>
          <w:i w:val="0"/>
        </w:rPr>
        <w:t xml:space="preserve">(COSL) </w:t>
      </w:r>
      <w:r w:rsidRPr="005E39A6">
        <w:rPr>
          <w:rStyle w:val="Emphasis"/>
          <w:rFonts w:ascii="Arial" w:hAnsi="Arial" w:cs="Arial"/>
          <w:i w:val="0"/>
        </w:rPr>
        <w:t>report</w:t>
      </w:r>
      <w:r>
        <w:rPr>
          <w:rStyle w:val="Emphasis"/>
          <w:rFonts w:ascii="Arial" w:hAnsi="Arial" w:cs="Arial"/>
          <w:i w:val="0"/>
        </w:rPr>
        <w:t>s</w:t>
      </w:r>
      <w:r w:rsidRPr="005E39A6">
        <w:rPr>
          <w:rStyle w:val="Emphasis"/>
          <w:rFonts w:ascii="Arial" w:hAnsi="Arial" w:cs="Arial"/>
          <w:i w:val="0"/>
        </w:rPr>
        <w:t xml:space="preserve"> </w:t>
      </w:r>
      <w:r>
        <w:rPr>
          <w:rStyle w:val="Emphasis"/>
          <w:rFonts w:ascii="Arial" w:hAnsi="Arial" w:cs="Arial"/>
          <w:i w:val="0"/>
        </w:rPr>
        <w:t xml:space="preserve">anything but a </w:t>
      </w:r>
      <w:r w:rsidRPr="005E39A6">
        <w:rPr>
          <w:rStyle w:val="Emphasis"/>
          <w:rFonts w:ascii="Arial" w:hAnsi="Arial" w:cs="Arial"/>
          <w:i w:val="0"/>
        </w:rPr>
        <w:t>very few complaints about debt collection practices, despite covering the whole finance sector.</w:t>
      </w:r>
    </w:p>
    <w:p w:rsidR="00345E4D"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Pr>
          <w:rStyle w:val="Emphasis"/>
          <w:rFonts w:ascii="Arial" w:hAnsi="Arial" w:cs="Arial"/>
          <w:i w:val="0"/>
        </w:rPr>
        <w:t>FOS</w:t>
      </w:r>
      <w:r w:rsidRPr="0089328C">
        <w:rPr>
          <w:rStyle w:val="Emphasis"/>
          <w:rFonts w:ascii="Arial" w:hAnsi="Arial" w:cs="Arial"/>
          <w:i w:val="0"/>
        </w:rPr>
        <w:t xml:space="preserve"> handles disputes from consumers in relation to its members’ financial products and services and has reported</w:t>
      </w:r>
      <w:r w:rsidRPr="0089328C">
        <w:rPr>
          <w:rStyle w:val="FootnoteReference"/>
          <w:rFonts w:ascii="Arial" w:hAnsi="Arial" w:cs="Arial"/>
          <w:iCs/>
        </w:rPr>
        <w:footnoteReference w:id="2"/>
      </w:r>
      <w:r w:rsidRPr="0089328C">
        <w:rPr>
          <w:rStyle w:val="Emphasis"/>
          <w:rFonts w:ascii="Arial" w:hAnsi="Arial" w:cs="Arial"/>
          <w:i w:val="0"/>
        </w:rPr>
        <w:t xml:space="preserve"> a total of 24,953 disputes in 2009-10, made up in part as:</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tabs>
          <w:tab w:val="left" w:pos="1701"/>
        </w:tabs>
        <w:spacing w:line="288" w:lineRule="auto"/>
        <w:ind w:left="720"/>
        <w:rPr>
          <w:rStyle w:val="Emphasis"/>
          <w:rFonts w:ascii="Arial" w:hAnsi="Arial" w:cs="Arial"/>
          <w:i w:val="0"/>
        </w:rPr>
      </w:pPr>
      <w:r w:rsidRPr="0089328C">
        <w:rPr>
          <w:rStyle w:val="Emphasis"/>
          <w:rFonts w:ascii="Arial" w:hAnsi="Arial" w:cs="Arial"/>
          <w:i w:val="0"/>
        </w:rPr>
        <w:t>10,112</w:t>
      </w:r>
      <w:r w:rsidRPr="0089328C">
        <w:rPr>
          <w:rStyle w:val="Emphasis"/>
          <w:rFonts w:ascii="Arial" w:hAnsi="Arial" w:cs="Arial"/>
          <w:i w:val="0"/>
        </w:rPr>
        <w:tab/>
        <w:t>Credit</w:t>
      </w:r>
    </w:p>
    <w:p w:rsidR="00345E4D" w:rsidRPr="0089328C" w:rsidRDefault="00345E4D" w:rsidP="005E39A6">
      <w:pPr>
        <w:tabs>
          <w:tab w:val="left" w:pos="1701"/>
        </w:tabs>
        <w:spacing w:line="288" w:lineRule="auto"/>
        <w:ind w:left="720"/>
        <w:rPr>
          <w:rStyle w:val="Emphasis"/>
          <w:rFonts w:ascii="Arial" w:hAnsi="Arial" w:cs="Arial"/>
          <w:i w:val="0"/>
        </w:rPr>
      </w:pPr>
      <w:r>
        <w:rPr>
          <w:rStyle w:val="Emphasis"/>
          <w:rFonts w:ascii="Arial" w:hAnsi="Arial" w:cs="Arial"/>
          <w:i w:val="0"/>
        </w:rPr>
        <w:t xml:space="preserve">  </w:t>
      </w:r>
      <w:r w:rsidRPr="0089328C">
        <w:rPr>
          <w:rStyle w:val="Emphasis"/>
          <w:rFonts w:ascii="Arial" w:hAnsi="Arial" w:cs="Arial"/>
          <w:i w:val="0"/>
        </w:rPr>
        <w:t>7,964</w:t>
      </w:r>
      <w:r w:rsidRPr="0089328C">
        <w:rPr>
          <w:rStyle w:val="Emphasis"/>
          <w:rFonts w:ascii="Arial" w:hAnsi="Arial" w:cs="Arial"/>
          <w:i w:val="0"/>
        </w:rPr>
        <w:tab/>
        <w:t>Insurance</w:t>
      </w:r>
    </w:p>
    <w:p w:rsidR="00345E4D" w:rsidRPr="0089328C" w:rsidRDefault="00345E4D" w:rsidP="005E39A6">
      <w:pPr>
        <w:tabs>
          <w:tab w:val="left" w:pos="1701"/>
        </w:tabs>
        <w:spacing w:line="288" w:lineRule="auto"/>
        <w:ind w:left="720"/>
        <w:rPr>
          <w:rStyle w:val="Emphasis"/>
          <w:rFonts w:ascii="Arial" w:hAnsi="Arial" w:cs="Arial"/>
          <w:i w:val="0"/>
        </w:rPr>
      </w:pPr>
      <w:r>
        <w:rPr>
          <w:rStyle w:val="Emphasis"/>
          <w:rFonts w:ascii="Arial" w:hAnsi="Arial" w:cs="Arial"/>
          <w:i w:val="0"/>
        </w:rPr>
        <w:t xml:space="preserve">  </w:t>
      </w:r>
      <w:r w:rsidRPr="0089328C">
        <w:rPr>
          <w:rStyle w:val="Emphasis"/>
          <w:rFonts w:ascii="Arial" w:hAnsi="Arial" w:cs="Arial"/>
          <w:i w:val="0"/>
        </w:rPr>
        <w:t>2,022</w:t>
      </w:r>
      <w:r w:rsidRPr="0089328C">
        <w:rPr>
          <w:rStyle w:val="Emphasis"/>
          <w:rFonts w:ascii="Arial" w:hAnsi="Arial" w:cs="Arial"/>
          <w:i w:val="0"/>
        </w:rPr>
        <w:tab/>
        <w:t>Payment systems</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Of the disputes reported on by FOS for the 2009-10 year, only 199 related to debt collectors or debt buyers.</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Pr>
          <w:rStyle w:val="Emphasis"/>
          <w:rFonts w:ascii="Arial" w:hAnsi="Arial" w:cs="Arial"/>
          <w:i w:val="0"/>
        </w:rPr>
        <w:t>COSL</w:t>
      </w:r>
      <w:r w:rsidRPr="0089328C">
        <w:rPr>
          <w:rStyle w:val="Emphasis"/>
          <w:rFonts w:ascii="Arial" w:hAnsi="Arial" w:cs="Arial"/>
          <w:i w:val="0"/>
        </w:rPr>
        <w:t xml:space="preserve"> handles disputes from consumers in relation to </w:t>
      </w:r>
      <w:r>
        <w:rPr>
          <w:rStyle w:val="Emphasis"/>
          <w:rFonts w:ascii="Arial" w:hAnsi="Arial" w:cs="Arial"/>
          <w:i w:val="0"/>
        </w:rPr>
        <w:t xml:space="preserve">its </w:t>
      </w:r>
      <w:r w:rsidRPr="0089328C">
        <w:rPr>
          <w:rStyle w:val="Emphasis"/>
          <w:rFonts w:ascii="Arial" w:hAnsi="Arial" w:cs="Arial"/>
          <w:i w:val="0"/>
        </w:rPr>
        <w:t>member financial services providers.  COSL has reported</w:t>
      </w:r>
      <w:r w:rsidRPr="0089328C">
        <w:rPr>
          <w:rStyle w:val="FootnoteReference"/>
          <w:rFonts w:ascii="Arial" w:hAnsi="Arial" w:cs="Arial"/>
          <w:iCs/>
        </w:rPr>
        <w:footnoteReference w:id="3"/>
      </w:r>
      <w:r w:rsidRPr="0089328C">
        <w:rPr>
          <w:rStyle w:val="Emphasis"/>
          <w:rFonts w:ascii="Arial" w:hAnsi="Arial" w:cs="Arial"/>
          <w:i w:val="0"/>
        </w:rPr>
        <w:t xml:space="preserve"> a total of 1153 complaints were received in 2009-10 from consumers, only 78 of which related to debt collection.</w:t>
      </w:r>
    </w:p>
    <w:p w:rsidR="00345E4D" w:rsidRDefault="00345E4D" w:rsidP="005E39A6">
      <w:pPr>
        <w:spacing w:line="288" w:lineRule="auto"/>
        <w:rPr>
          <w:rFonts w:ascii="Arial" w:hAnsi="Arial" w:cs="Arial"/>
          <w:b/>
        </w:rPr>
      </w:pPr>
    </w:p>
    <w:p w:rsidR="00345E4D" w:rsidRDefault="00345E4D" w:rsidP="005E39A6">
      <w:pPr>
        <w:spacing w:line="288" w:lineRule="auto"/>
        <w:rPr>
          <w:rFonts w:ascii="Arial" w:hAnsi="Arial" w:cs="Arial"/>
        </w:rPr>
      </w:pPr>
      <w:r w:rsidRPr="005E39A6">
        <w:rPr>
          <w:rFonts w:ascii="Arial" w:hAnsi="Arial" w:cs="Arial"/>
        </w:rPr>
        <w:t>Our members</w:t>
      </w:r>
      <w:r>
        <w:rPr>
          <w:rFonts w:ascii="Arial" w:hAnsi="Arial" w:cs="Arial"/>
        </w:rPr>
        <w:t>’</w:t>
      </w:r>
      <w:r w:rsidRPr="005E39A6">
        <w:rPr>
          <w:rFonts w:ascii="Arial" w:hAnsi="Arial" w:cs="Arial"/>
        </w:rPr>
        <w:t xml:space="preserve"> data is validated by the low level of collections complaints managed by the External Dispute Resolution Schemes, particularly when consumers can lodge complaints about collections agents with those schemes under the principal lenders’ memberships.</w:t>
      </w:r>
    </w:p>
    <w:p w:rsidR="00345E4D" w:rsidRDefault="00345E4D" w:rsidP="00F239BD">
      <w:pPr>
        <w:jc w:val="left"/>
        <w:rPr>
          <w:rFonts w:ascii="Arial" w:hAnsi="Arial" w:cs="Arial"/>
          <w:b/>
        </w:rPr>
      </w:pPr>
    </w:p>
    <w:p w:rsidR="00345E4D" w:rsidRPr="005E39A6" w:rsidRDefault="00345E4D" w:rsidP="00F239BD">
      <w:pPr>
        <w:jc w:val="left"/>
        <w:rPr>
          <w:rFonts w:ascii="Arial" w:hAnsi="Arial" w:cs="Arial"/>
        </w:rPr>
      </w:pPr>
      <w:r w:rsidRPr="005E39A6">
        <w:rPr>
          <w:rFonts w:ascii="Arial" w:hAnsi="Arial" w:cs="Arial"/>
        </w:rPr>
        <w:t>Annexure E provides further complaints data for comparison purposes.</w:t>
      </w:r>
    </w:p>
    <w:p w:rsidR="00345E4D" w:rsidRPr="00461B8D" w:rsidRDefault="00345E4D" w:rsidP="00461B8D">
      <w:pPr>
        <w:pStyle w:val="Heading2"/>
      </w:pPr>
      <w:bookmarkStart w:id="10" w:name="_Toc310510822"/>
      <w:r w:rsidRPr="00461B8D">
        <w:t>Summary</w:t>
      </w:r>
      <w:bookmarkEnd w:id="10"/>
    </w:p>
    <w:p w:rsidR="00345E4D" w:rsidRDefault="00345E4D" w:rsidP="00696B20">
      <w:pPr>
        <w:spacing w:line="288" w:lineRule="auto"/>
        <w:rPr>
          <w:rFonts w:ascii="Arial" w:hAnsi="Arial" w:cs="Arial"/>
        </w:rPr>
      </w:pPr>
      <w:r w:rsidRPr="00696B20">
        <w:rPr>
          <w:rFonts w:ascii="Arial" w:hAnsi="Arial" w:cs="Arial"/>
        </w:rPr>
        <w:t>From the information provided above, our industry can be summarised as:</w:t>
      </w:r>
    </w:p>
    <w:p w:rsidR="00345E4D" w:rsidRPr="00696B20" w:rsidRDefault="00345E4D" w:rsidP="00696B20">
      <w:pPr>
        <w:spacing w:line="288" w:lineRule="auto"/>
        <w:rPr>
          <w:rFonts w:ascii="Arial" w:hAnsi="Arial" w:cs="Arial"/>
        </w:rPr>
      </w:pPr>
    </w:p>
    <w:p w:rsidR="00345E4D" w:rsidRDefault="00345E4D" w:rsidP="00696B20">
      <w:pPr>
        <w:pStyle w:val="ListParagraph"/>
        <w:numPr>
          <w:ilvl w:val="0"/>
          <w:numId w:val="26"/>
        </w:numPr>
        <w:spacing w:line="288" w:lineRule="auto"/>
        <w:rPr>
          <w:rFonts w:ascii="Arial" w:hAnsi="Arial" w:cs="Arial"/>
        </w:rPr>
      </w:pPr>
      <w:r>
        <w:rPr>
          <w:rFonts w:ascii="Arial" w:hAnsi="Arial" w:cs="Arial"/>
        </w:rPr>
        <w:t>Corporatised, with a small number of corporations managing 70% of the demand</w:t>
      </w:r>
    </w:p>
    <w:p w:rsidR="00345E4D" w:rsidRDefault="00345E4D" w:rsidP="00696B20">
      <w:pPr>
        <w:pStyle w:val="ListParagraph"/>
        <w:numPr>
          <w:ilvl w:val="0"/>
          <w:numId w:val="26"/>
        </w:numPr>
        <w:spacing w:line="288" w:lineRule="auto"/>
        <w:rPr>
          <w:rFonts w:ascii="Arial" w:hAnsi="Arial" w:cs="Arial"/>
        </w:rPr>
      </w:pPr>
      <w:r>
        <w:rPr>
          <w:rFonts w:ascii="Arial" w:hAnsi="Arial" w:cs="Arial"/>
        </w:rPr>
        <w:t>Employing a relatively low number of employees – about 5,000 people across Australia &amp; overseas</w:t>
      </w:r>
    </w:p>
    <w:p w:rsidR="00345E4D" w:rsidRDefault="00345E4D" w:rsidP="00696B20">
      <w:pPr>
        <w:pStyle w:val="ListParagraph"/>
        <w:numPr>
          <w:ilvl w:val="0"/>
          <w:numId w:val="26"/>
        </w:numPr>
        <w:spacing w:line="288" w:lineRule="auto"/>
        <w:rPr>
          <w:rFonts w:ascii="Arial" w:hAnsi="Arial" w:cs="Arial"/>
        </w:rPr>
      </w:pPr>
      <w:r w:rsidRPr="0046039F">
        <w:rPr>
          <w:rFonts w:ascii="Arial" w:hAnsi="Arial" w:cs="Arial"/>
        </w:rPr>
        <w:t>A major contributor to the Australian economy</w:t>
      </w:r>
      <w:r>
        <w:rPr>
          <w:rFonts w:ascii="Arial" w:hAnsi="Arial" w:cs="Arial"/>
        </w:rPr>
        <w:t xml:space="preserve"> by seeking the recovery of approximately $13.6 billion in debt per annum</w:t>
      </w:r>
    </w:p>
    <w:p w:rsidR="00345E4D" w:rsidRDefault="00345E4D" w:rsidP="00696B20">
      <w:pPr>
        <w:pStyle w:val="ListParagraph"/>
        <w:numPr>
          <w:ilvl w:val="0"/>
          <w:numId w:val="26"/>
        </w:numPr>
        <w:spacing w:line="288" w:lineRule="auto"/>
        <w:rPr>
          <w:rFonts w:ascii="Arial" w:hAnsi="Arial" w:cs="Arial"/>
        </w:rPr>
      </w:pPr>
      <w:r>
        <w:rPr>
          <w:rFonts w:ascii="Arial" w:hAnsi="Arial" w:cs="Arial"/>
        </w:rPr>
        <w:t>A service provider to Government, industry and utilities providers</w:t>
      </w:r>
    </w:p>
    <w:p w:rsidR="00345E4D" w:rsidRDefault="00345E4D" w:rsidP="00696B20">
      <w:pPr>
        <w:pStyle w:val="ListParagraph"/>
        <w:numPr>
          <w:ilvl w:val="0"/>
          <w:numId w:val="26"/>
        </w:numPr>
        <w:spacing w:line="288" w:lineRule="auto"/>
        <w:rPr>
          <w:rFonts w:ascii="Arial" w:hAnsi="Arial" w:cs="Arial"/>
        </w:rPr>
      </w:pPr>
      <w:r>
        <w:rPr>
          <w:rFonts w:ascii="Arial" w:hAnsi="Arial" w:cs="Arial"/>
        </w:rPr>
        <w:t xml:space="preserve">Having a very low level of </w:t>
      </w:r>
      <w:r w:rsidRPr="00696B20">
        <w:rPr>
          <w:rFonts w:ascii="Arial" w:hAnsi="Arial" w:cs="Arial"/>
        </w:rPr>
        <w:t>complaints/incidents</w:t>
      </w:r>
      <w:r>
        <w:rPr>
          <w:rFonts w:ascii="Arial" w:hAnsi="Arial" w:cs="Arial"/>
        </w:rPr>
        <w:t xml:space="preserve"> per customer contact</w:t>
      </w:r>
    </w:p>
    <w:p w:rsidR="00345E4D" w:rsidRDefault="00345E4D" w:rsidP="00696B20">
      <w:pPr>
        <w:pStyle w:val="ListParagraph"/>
        <w:spacing w:line="288" w:lineRule="auto"/>
        <w:rPr>
          <w:rFonts w:ascii="Arial" w:hAnsi="Arial" w:cs="Arial"/>
        </w:rPr>
      </w:pPr>
    </w:p>
    <w:p w:rsidR="00345E4D" w:rsidRDefault="00345E4D" w:rsidP="00696B20">
      <w:pPr>
        <w:spacing w:line="288" w:lineRule="auto"/>
        <w:jc w:val="left"/>
        <w:rPr>
          <w:rFonts w:ascii="Arial" w:hAnsi="Arial" w:cs="Arial"/>
        </w:rPr>
      </w:pPr>
      <w:r w:rsidRPr="00BD03E4">
        <w:rPr>
          <w:rFonts w:ascii="Arial" w:hAnsi="Arial" w:cs="Arial"/>
        </w:rPr>
        <w:t>These factors alone support our contention</w:t>
      </w:r>
      <w:r>
        <w:rPr>
          <w:rFonts w:ascii="Arial" w:hAnsi="Arial" w:cs="Arial"/>
        </w:rPr>
        <w:t xml:space="preserve"> a</w:t>
      </w:r>
      <w:r w:rsidRPr="00BD03E4">
        <w:rPr>
          <w:rFonts w:ascii="Arial" w:hAnsi="Arial" w:cs="Arial"/>
        </w:rPr>
        <w:t xml:space="preserve"> negative licensing regime can be justified.</w:t>
      </w:r>
      <w:r>
        <w:rPr>
          <w:rFonts w:ascii="Arial" w:hAnsi="Arial" w:cs="Arial"/>
        </w:rPr>
        <w:t xml:space="preserve"> </w:t>
      </w:r>
      <w:r>
        <w:rPr>
          <w:rFonts w:ascii="Arial" w:hAnsi="Arial" w:cs="Arial"/>
        </w:rPr>
        <w:br w:type="page"/>
      </w:r>
    </w:p>
    <w:p w:rsidR="00345E4D" w:rsidRDefault="00345E4D" w:rsidP="002828E9">
      <w:pPr>
        <w:pStyle w:val="Heading1"/>
      </w:pPr>
      <w:bookmarkStart w:id="11" w:name="_Toc310510823"/>
      <w:r>
        <w:t>Licensing options</w:t>
      </w:r>
      <w:bookmarkEnd w:id="11"/>
    </w:p>
    <w:p w:rsidR="00345E4D" w:rsidRPr="00BD03E4" w:rsidRDefault="00345E4D" w:rsidP="007C119C">
      <w:pPr>
        <w:spacing w:line="288" w:lineRule="auto"/>
        <w:rPr>
          <w:rFonts w:ascii="Arial" w:hAnsi="Arial" w:cs="Arial"/>
        </w:rPr>
      </w:pPr>
      <w:r w:rsidRPr="00BD03E4">
        <w:rPr>
          <w:rFonts w:ascii="Arial" w:hAnsi="Arial" w:cs="Arial"/>
        </w:rPr>
        <w:t>ACDBA supports Option 4, mandatory exclusion requirements, or negative licensing, as being the most appropriate option for a professional industry already regulated under a range of other laws, particularly laws that govern market practices and consumer protection conduct.</w:t>
      </w:r>
    </w:p>
    <w:p w:rsidR="00345E4D" w:rsidRPr="00BD03E4" w:rsidRDefault="00345E4D" w:rsidP="007C119C">
      <w:pPr>
        <w:spacing w:line="288" w:lineRule="auto"/>
        <w:rPr>
          <w:rFonts w:ascii="Arial" w:hAnsi="Arial" w:cs="Arial"/>
        </w:rPr>
      </w:pPr>
    </w:p>
    <w:p w:rsidR="00345E4D" w:rsidRPr="00BD03E4" w:rsidRDefault="00345E4D" w:rsidP="007C119C">
      <w:pPr>
        <w:spacing w:line="288" w:lineRule="auto"/>
        <w:rPr>
          <w:rFonts w:ascii="Arial" w:hAnsi="Arial" w:cs="Arial"/>
        </w:rPr>
      </w:pPr>
      <w:r w:rsidRPr="00BD03E4">
        <w:rPr>
          <w:rFonts w:ascii="Arial" w:hAnsi="Arial" w:cs="Arial"/>
        </w:rPr>
        <w:t xml:space="preserve">We also support this option because the Collections sector provides services to a broad range of creditors, some of whom are subject to regulatory licensing regimes (consumer credit providers) and many who are not (government departments, merchants, tradespeople, stores etc).  Consequently, a negative licensing regime can accommodate these differences without being anti-competitive. </w:t>
      </w:r>
    </w:p>
    <w:p w:rsidR="00345E4D" w:rsidRPr="00BD03E4" w:rsidRDefault="00345E4D" w:rsidP="00A358BE">
      <w:pPr>
        <w:spacing w:line="288" w:lineRule="auto"/>
        <w:rPr>
          <w:rFonts w:ascii="Arial" w:hAnsi="Arial" w:cs="Arial"/>
        </w:rPr>
      </w:pPr>
    </w:p>
    <w:p w:rsidR="00345E4D" w:rsidRPr="00146D32" w:rsidRDefault="00345E4D" w:rsidP="00146D32">
      <w:pPr>
        <w:spacing w:line="288" w:lineRule="auto"/>
        <w:rPr>
          <w:rFonts w:ascii="Arial" w:hAnsi="Arial" w:cs="Arial"/>
        </w:rPr>
      </w:pPr>
      <w:r w:rsidRPr="00BD03E4">
        <w:rPr>
          <w:rFonts w:ascii="Arial" w:hAnsi="Arial" w:cs="Arial"/>
        </w:rPr>
        <w:t>To further support our view, Victoria’s mandatory exclusion requirements, which commenced on 1 July 2011, are not expected to lead to a lessening of standards or an increase in collector conduct complaints.  Victoria is confident this model will work because Victoria has inserted its ‘debt collection practices’ provisions into the Fair Trading Act 1999 (Vic), which are similar to Victoria’s previous harassment and coercion provisions before the implementation of the Australian Consumer Law (Cth).  Also, as the Options Paper points out, the negative licensing approach will bring about savings for the Victorian industry of over $2 million per year.</w:t>
      </w:r>
      <w:r w:rsidRPr="00146D32">
        <w:rPr>
          <w:rFonts w:ascii="Arial" w:hAnsi="Arial" w:cs="Arial"/>
        </w:rPr>
        <w:t xml:space="preserve">   </w:t>
      </w:r>
    </w:p>
    <w:p w:rsidR="00345E4D" w:rsidRDefault="00345E4D" w:rsidP="000F0A3F">
      <w:pPr>
        <w:spacing w:line="288" w:lineRule="auto"/>
        <w:rPr>
          <w:rFonts w:ascii="Arial" w:hAnsi="Arial" w:cs="Arial"/>
        </w:rPr>
      </w:pPr>
    </w:p>
    <w:p w:rsidR="00345E4D" w:rsidRDefault="00345E4D" w:rsidP="00A358BE">
      <w:pPr>
        <w:spacing w:line="288" w:lineRule="auto"/>
        <w:rPr>
          <w:rFonts w:ascii="Arial" w:hAnsi="Arial" w:cs="Arial"/>
        </w:rPr>
      </w:pPr>
      <w:r>
        <w:rPr>
          <w:rFonts w:ascii="Arial" w:hAnsi="Arial" w:cs="Arial"/>
        </w:rPr>
        <w:t xml:space="preserve">We provide brief comments on our main concerns with the other options provided. </w:t>
      </w:r>
    </w:p>
    <w:p w:rsidR="00345E4D" w:rsidRPr="007C119C" w:rsidRDefault="00345E4D" w:rsidP="0092270D">
      <w:pPr>
        <w:pStyle w:val="Heading2"/>
      </w:pPr>
      <w:bookmarkStart w:id="12" w:name="_Toc310510824"/>
      <w:r>
        <w:t>Option</w:t>
      </w:r>
      <w:r w:rsidRPr="007C119C">
        <w:t xml:space="preserve"> 1</w:t>
      </w:r>
      <w:r>
        <w:t xml:space="preserve">: </w:t>
      </w:r>
      <w:r w:rsidRPr="009D282E">
        <w:t>Status quo</w:t>
      </w:r>
      <w:bookmarkEnd w:id="12"/>
    </w:p>
    <w:p w:rsidR="00345E4D" w:rsidRPr="00A358BE" w:rsidRDefault="00345E4D" w:rsidP="009D282E">
      <w:pPr>
        <w:spacing w:line="288" w:lineRule="auto"/>
        <w:rPr>
          <w:rFonts w:ascii="Arial" w:hAnsi="Arial" w:cs="Arial"/>
        </w:rPr>
      </w:pPr>
      <w:r w:rsidRPr="00A358BE">
        <w:rPr>
          <w:rFonts w:ascii="Arial" w:hAnsi="Arial" w:cs="Arial"/>
        </w:rPr>
        <w:t xml:space="preserve">Retention of the status quo of licensing for the Collections sector </w:t>
      </w:r>
      <w:r>
        <w:rPr>
          <w:rFonts w:ascii="Arial" w:hAnsi="Arial" w:cs="Arial"/>
        </w:rPr>
        <w:t xml:space="preserve">fails </w:t>
      </w:r>
      <w:r w:rsidRPr="00A358BE">
        <w:rPr>
          <w:rFonts w:ascii="Arial" w:hAnsi="Arial" w:cs="Arial"/>
        </w:rPr>
        <w:t xml:space="preserve">to address </w:t>
      </w:r>
      <w:r>
        <w:rPr>
          <w:rFonts w:ascii="Arial" w:hAnsi="Arial" w:cs="Arial"/>
        </w:rPr>
        <w:t>the</w:t>
      </w:r>
      <w:r w:rsidRPr="00A358BE">
        <w:rPr>
          <w:rFonts w:ascii="Arial" w:hAnsi="Arial" w:cs="Arial"/>
        </w:rPr>
        <w:t xml:space="preserve"> glaring </w:t>
      </w:r>
      <w:r>
        <w:rPr>
          <w:rFonts w:ascii="Arial" w:hAnsi="Arial" w:cs="Arial"/>
        </w:rPr>
        <w:t xml:space="preserve">and </w:t>
      </w:r>
      <w:r w:rsidRPr="00A358BE">
        <w:rPr>
          <w:rFonts w:ascii="Arial" w:hAnsi="Arial" w:cs="Arial"/>
        </w:rPr>
        <w:t>fundamental issue: the inconsistency of existing licensing standards and obligations across the jurisdictions which vary from no regulation through to outdated</w:t>
      </w:r>
      <w:r>
        <w:rPr>
          <w:rFonts w:ascii="Arial" w:hAnsi="Arial" w:cs="Arial"/>
        </w:rPr>
        <w:t>,</w:t>
      </w:r>
      <w:r w:rsidRPr="00A358BE">
        <w:rPr>
          <w:rFonts w:ascii="Arial" w:hAnsi="Arial" w:cs="Arial"/>
        </w:rPr>
        <w:t xml:space="preserve"> inefficient and inappropriate regulations.</w:t>
      </w:r>
    </w:p>
    <w:p w:rsidR="00345E4D" w:rsidRPr="00A358BE" w:rsidRDefault="00345E4D" w:rsidP="009D282E">
      <w:pPr>
        <w:spacing w:line="288" w:lineRule="auto"/>
        <w:rPr>
          <w:rFonts w:ascii="Arial" w:hAnsi="Arial" w:cs="Arial"/>
        </w:rPr>
      </w:pPr>
    </w:p>
    <w:p w:rsidR="00345E4D" w:rsidRDefault="00345E4D" w:rsidP="009D282E">
      <w:pPr>
        <w:spacing w:line="288" w:lineRule="auto"/>
        <w:rPr>
          <w:rFonts w:ascii="Arial" w:hAnsi="Arial" w:cs="Arial"/>
        </w:rPr>
      </w:pPr>
      <w:r w:rsidRPr="00A358BE">
        <w:rPr>
          <w:rFonts w:ascii="Arial" w:hAnsi="Arial" w:cs="Arial"/>
        </w:rPr>
        <w:t>On the basis of competition policy, maintenance of the status quo is neither fair nor sustainable.</w:t>
      </w:r>
    </w:p>
    <w:p w:rsidR="00345E4D" w:rsidRDefault="00345E4D" w:rsidP="00461B8D">
      <w:pPr>
        <w:pStyle w:val="Heading3"/>
      </w:pPr>
    </w:p>
    <w:p w:rsidR="00345E4D" w:rsidRPr="009D282E" w:rsidRDefault="00345E4D" w:rsidP="0092270D">
      <w:pPr>
        <w:pStyle w:val="Heading2"/>
      </w:pPr>
      <w:bookmarkStart w:id="13" w:name="_Toc310510825"/>
      <w:r w:rsidRPr="007C119C">
        <w:t>Option 2:</w:t>
      </w:r>
      <w:r>
        <w:t xml:space="preserve"> </w:t>
      </w:r>
      <w:r w:rsidRPr="009D282E">
        <w:t xml:space="preserve">Removing exemption from </w:t>
      </w:r>
      <w:r>
        <w:t>National Credit A</w:t>
      </w:r>
      <w:r w:rsidRPr="009D282E">
        <w:t>ct</w:t>
      </w:r>
      <w:bookmarkEnd w:id="13"/>
    </w:p>
    <w:p w:rsidR="00345E4D" w:rsidRDefault="00345E4D" w:rsidP="007C119C">
      <w:pPr>
        <w:spacing w:line="288" w:lineRule="auto"/>
        <w:rPr>
          <w:rFonts w:ascii="Arial" w:hAnsi="Arial" w:cs="Arial"/>
        </w:rPr>
      </w:pPr>
      <w:r w:rsidRPr="007C119C">
        <w:rPr>
          <w:rFonts w:ascii="Arial" w:hAnsi="Arial" w:cs="Arial"/>
        </w:rPr>
        <w:t xml:space="preserve">While ACDBA supports a licensing model similar to the NCCP regime, removing the </w:t>
      </w:r>
      <w:r>
        <w:rPr>
          <w:rFonts w:ascii="Arial" w:hAnsi="Arial" w:cs="Arial"/>
        </w:rPr>
        <w:t xml:space="preserve">collector </w:t>
      </w:r>
      <w:r w:rsidRPr="007C119C">
        <w:rPr>
          <w:rFonts w:ascii="Arial" w:hAnsi="Arial" w:cs="Arial"/>
        </w:rPr>
        <w:t>exemption from the National Credit Act is not a viable option</w:t>
      </w:r>
      <w:r>
        <w:rPr>
          <w:rFonts w:ascii="Arial" w:hAnsi="Arial" w:cs="Arial"/>
        </w:rPr>
        <w:t>.  I</w:t>
      </w:r>
      <w:r w:rsidRPr="007C119C">
        <w:rPr>
          <w:rFonts w:ascii="Arial" w:hAnsi="Arial" w:cs="Arial"/>
        </w:rPr>
        <w:t xml:space="preserve">t will result in some, but not all, collectors being required to comply with a Commonwealth licensing regime in addition to </w:t>
      </w:r>
      <w:r>
        <w:rPr>
          <w:rFonts w:ascii="Arial" w:hAnsi="Arial" w:cs="Arial"/>
        </w:rPr>
        <w:t xml:space="preserve">existing </w:t>
      </w:r>
      <w:r w:rsidRPr="007C119C">
        <w:rPr>
          <w:rFonts w:ascii="Arial" w:hAnsi="Arial" w:cs="Arial"/>
        </w:rPr>
        <w:t xml:space="preserve">State/Territory regimes. </w:t>
      </w:r>
      <w:r>
        <w:rPr>
          <w:rFonts w:ascii="Arial" w:hAnsi="Arial" w:cs="Arial"/>
        </w:rPr>
        <w:t xml:space="preserve"> </w:t>
      </w:r>
    </w:p>
    <w:p w:rsidR="00345E4D" w:rsidRDefault="00345E4D" w:rsidP="007C119C">
      <w:pPr>
        <w:spacing w:line="288" w:lineRule="auto"/>
        <w:rPr>
          <w:rFonts w:ascii="Arial" w:hAnsi="Arial" w:cs="Arial"/>
        </w:rPr>
      </w:pPr>
    </w:p>
    <w:p w:rsidR="00345E4D" w:rsidRDefault="00345E4D" w:rsidP="000C165E">
      <w:pPr>
        <w:spacing w:line="288" w:lineRule="auto"/>
        <w:rPr>
          <w:rFonts w:ascii="Arial" w:hAnsi="Arial" w:cs="Arial"/>
        </w:rPr>
      </w:pPr>
      <w:r>
        <w:rPr>
          <w:rFonts w:ascii="Arial" w:hAnsi="Arial" w:cs="Arial"/>
        </w:rPr>
        <w:t>For consumer credit collectors, the regulatory burden will increase, compounding the current inconsistencies inherent in the State regulatory regimes.  For c</w:t>
      </w:r>
      <w:r w:rsidRPr="008D4E73">
        <w:rPr>
          <w:rFonts w:ascii="Arial" w:hAnsi="Arial" w:cs="Arial"/>
        </w:rPr>
        <w:t xml:space="preserve">ollectors </w:t>
      </w:r>
      <w:r>
        <w:rPr>
          <w:rFonts w:ascii="Arial" w:hAnsi="Arial" w:cs="Arial"/>
        </w:rPr>
        <w:t>outside the consumer credit regime, they</w:t>
      </w:r>
      <w:r w:rsidRPr="008D4E73">
        <w:rPr>
          <w:rFonts w:ascii="Arial" w:hAnsi="Arial" w:cs="Arial"/>
        </w:rPr>
        <w:t xml:space="preserve"> would either be unregulated</w:t>
      </w:r>
      <w:r>
        <w:rPr>
          <w:rFonts w:ascii="Arial" w:hAnsi="Arial" w:cs="Arial"/>
        </w:rPr>
        <w:t xml:space="preserve"> should State/Territory regimes be repealed</w:t>
      </w:r>
      <w:r w:rsidRPr="008D4E73">
        <w:rPr>
          <w:rFonts w:ascii="Arial" w:hAnsi="Arial" w:cs="Arial"/>
        </w:rPr>
        <w:t xml:space="preserve"> or still </w:t>
      </w:r>
      <w:r>
        <w:rPr>
          <w:rFonts w:ascii="Arial" w:hAnsi="Arial" w:cs="Arial"/>
        </w:rPr>
        <w:t xml:space="preserve">be </w:t>
      </w:r>
      <w:r w:rsidRPr="008D4E73">
        <w:rPr>
          <w:rFonts w:ascii="Arial" w:hAnsi="Arial" w:cs="Arial"/>
        </w:rPr>
        <w:t xml:space="preserve">regulated </w:t>
      </w:r>
      <w:r>
        <w:rPr>
          <w:rFonts w:ascii="Arial" w:hAnsi="Arial" w:cs="Arial"/>
        </w:rPr>
        <w:t>under</w:t>
      </w:r>
      <w:r w:rsidRPr="008D4E73">
        <w:rPr>
          <w:rFonts w:ascii="Arial" w:hAnsi="Arial" w:cs="Arial"/>
        </w:rPr>
        <w:t xml:space="preserve"> inconsistent regimes. </w:t>
      </w:r>
      <w:r>
        <w:rPr>
          <w:rFonts w:ascii="Arial" w:hAnsi="Arial" w:cs="Arial"/>
        </w:rPr>
        <w:t xml:space="preserve"> </w:t>
      </w:r>
    </w:p>
    <w:p w:rsidR="00345E4D" w:rsidRDefault="00345E4D" w:rsidP="000C165E">
      <w:pPr>
        <w:spacing w:line="288" w:lineRule="auto"/>
        <w:rPr>
          <w:rFonts w:ascii="Arial" w:hAnsi="Arial" w:cs="Arial"/>
        </w:rPr>
      </w:pPr>
    </w:p>
    <w:p w:rsidR="00345E4D" w:rsidRPr="000C165E" w:rsidRDefault="00345E4D" w:rsidP="006306E0">
      <w:pPr>
        <w:spacing w:after="240" w:line="288" w:lineRule="auto"/>
        <w:rPr>
          <w:rFonts w:ascii="Arial" w:hAnsi="Arial" w:cs="Arial"/>
        </w:rPr>
      </w:pPr>
      <w:r>
        <w:rPr>
          <w:rFonts w:ascii="Arial" w:hAnsi="Arial" w:cs="Arial"/>
        </w:rPr>
        <w:t xml:space="preserve">This approach will add to the current regulatory overlay and increase inconsistencies across the various regimes.  It cannot result in harmonisation.  It also has the potential to be anti-competitive by imposing an additional regulatory regime on those collecting specific debt types.  </w:t>
      </w:r>
    </w:p>
    <w:p w:rsidR="00345E4D" w:rsidRPr="000C165E" w:rsidRDefault="00345E4D" w:rsidP="000C165E">
      <w:pPr>
        <w:spacing w:line="288" w:lineRule="auto"/>
        <w:rPr>
          <w:rFonts w:ascii="Arial" w:hAnsi="Arial" w:cs="Arial"/>
        </w:rPr>
      </w:pPr>
    </w:p>
    <w:p w:rsidR="00345E4D" w:rsidRPr="009A4159" w:rsidRDefault="00345E4D" w:rsidP="0092270D">
      <w:pPr>
        <w:pStyle w:val="Heading2"/>
      </w:pPr>
      <w:bookmarkStart w:id="14" w:name="_Toc310510826"/>
      <w:r w:rsidRPr="009A4159">
        <w:t>Option 3: The national occupational licensing system (NOLS) model</w:t>
      </w:r>
      <w:bookmarkEnd w:id="14"/>
    </w:p>
    <w:p w:rsidR="00345E4D" w:rsidRDefault="00345E4D" w:rsidP="0092270D">
      <w:pPr>
        <w:spacing w:line="288" w:lineRule="auto"/>
        <w:rPr>
          <w:rFonts w:ascii="Arial" w:hAnsi="Arial" w:cs="Arial"/>
        </w:rPr>
      </w:pPr>
      <w:r>
        <w:rPr>
          <w:rFonts w:ascii="Arial" w:hAnsi="Arial" w:cs="Arial"/>
        </w:rPr>
        <w:t xml:space="preserve">The NOLS model generally at this time is not seen as presenting a viable option for the Collections sector for the following reasons: </w:t>
      </w:r>
    </w:p>
    <w:p w:rsidR="00345E4D" w:rsidRPr="00E176DF" w:rsidRDefault="00345E4D" w:rsidP="0092270D">
      <w:pPr>
        <w:pStyle w:val="ListParagraph"/>
        <w:numPr>
          <w:ilvl w:val="0"/>
          <w:numId w:val="28"/>
        </w:numPr>
        <w:autoSpaceDE w:val="0"/>
        <w:autoSpaceDN w:val="0"/>
        <w:adjustRightInd w:val="0"/>
        <w:spacing w:line="288" w:lineRule="auto"/>
        <w:rPr>
          <w:szCs w:val="22"/>
        </w:rPr>
      </w:pPr>
      <w:r w:rsidRPr="00E176DF">
        <w:rPr>
          <w:rFonts w:ascii="Arial" w:hAnsi="Arial" w:cs="Arial"/>
        </w:rPr>
        <w:t xml:space="preserve">While the model is intended to </w:t>
      </w:r>
      <w:r w:rsidRPr="00E176DF">
        <w:rPr>
          <w:rFonts w:ascii="Arial" w:hAnsi="Arial" w:cs="Arial"/>
          <w:szCs w:val="22"/>
        </w:rPr>
        <w:t>reduce</w:t>
      </w:r>
      <w:r>
        <w:rPr>
          <w:rFonts w:ascii="Arial" w:hAnsi="Arial" w:cs="Arial"/>
          <w:szCs w:val="22"/>
        </w:rPr>
        <w:t xml:space="preserve"> the regulatory</w:t>
      </w:r>
      <w:r w:rsidRPr="00E176DF">
        <w:rPr>
          <w:rFonts w:ascii="Arial" w:hAnsi="Arial" w:cs="Arial"/>
          <w:szCs w:val="22"/>
        </w:rPr>
        <w:t xml:space="preserve"> burden by minimising inconsistencies</w:t>
      </w:r>
      <w:r>
        <w:rPr>
          <w:rFonts w:ascii="Arial" w:hAnsi="Arial" w:cs="Arial"/>
          <w:szCs w:val="22"/>
        </w:rPr>
        <w:t xml:space="preserve">, </w:t>
      </w:r>
      <w:r w:rsidRPr="00E176DF">
        <w:rPr>
          <w:rFonts w:ascii="Arial" w:hAnsi="Arial" w:cs="Arial"/>
          <w:szCs w:val="22"/>
        </w:rPr>
        <w:t>reducing interjurisdictional anomalies</w:t>
      </w:r>
      <w:r>
        <w:rPr>
          <w:rFonts w:ascii="Arial" w:hAnsi="Arial" w:cs="Arial"/>
          <w:szCs w:val="22"/>
        </w:rPr>
        <w:t xml:space="preserve"> and</w:t>
      </w:r>
      <w:r w:rsidRPr="00E176DF">
        <w:rPr>
          <w:rFonts w:ascii="Arial" w:hAnsi="Arial" w:cs="Arial"/>
          <w:szCs w:val="22"/>
        </w:rPr>
        <w:t xml:space="preserve"> providing some legislative clarity for its participants by eliminating overlap, it still sits within a State framework that can be counter productive to efficiency and expediency</w:t>
      </w:r>
    </w:p>
    <w:p w:rsidR="00345E4D" w:rsidRPr="00E176DF" w:rsidRDefault="00345E4D" w:rsidP="0092270D">
      <w:pPr>
        <w:pStyle w:val="ListParagraph"/>
        <w:numPr>
          <w:ilvl w:val="1"/>
          <w:numId w:val="28"/>
        </w:numPr>
        <w:autoSpaceDE w:val="0"/>
        <w:autoSpaceDN w:val="0"/>
        <w:adjustRightInd w:val="0"/>
        <w:spacing w:line="288" w:lineRule="auto"/>
        <w:rPr>
          <w:szCs w:val="22"/>
        </w:rPr>
      </w:pPr>
      <w:r w:rsidRPr="00E176DF">
        <w:rPr>
          <w:rFonts w:ascii="Arial" w:hAnsi="Arial" w:cs="Arial"/>
          <w:szCs w:val="22"/>
        </w:rPr>
        <w:t>The NCCP Act came into being because the States/Territories were unable to respond expediently to market changes</w:t>
      </w:r>
      <w:r>
        <w:rPr>
          <w:rFonts w:ascii="Arial" w:hAnsi="Arial" w:cs="Arial"/>
          <w:szCs w:val="22"/>
        </w:rPr>
        <w:t xml:space="preserve"> and stakeholder demands</w:t>
      </w:r>
    </w:p>
    <w:p w:rsidR="00345E4D" w:rsidRDefault="00345E4D" w:rsidP="0092270D">
      <w:pPr>
        <w:pStyle w:val="ListParagraph"/>
        <w:numPr>
          <w:ilvl w:val="0"/>
          <w:numId w:val="27"/>
        </w:numPr>
        <w:spacing w:line="288" w:lineRule="auto"/>
        <w:rPr>
          <w:rFonts w:ascii="Arial" w:hAnsi="Arial" w:cs="Arial"/>
        </w:rPr>
      </w:pPr>
      <w:r>
        <w:rPr>
          <w:rFonts w:ascii="Arial" w:hAnsi="Arial" w:cs="Arial"/>
        </w:rPr>
        <w:t>The process required to develop an agreed model will be subject to the same problems faced under the UCCC template credit legislation regime</w:t>
      </w:r>
    </w:p>
    <w:p w:rsidR="00345E4D" w:rsidRDefault="00345E4D" w:rsidP="0092270D">
      <w:pPr>
        <w:pStyle w:val="ListParagraph"/>
        <w:numPr>
          <w:ilvl w:val="0"/>
          <w:numId w:val="27"/>
        </w:numPr>
        <w:spacing w:line="288" w:lineRule="auto"/>
        <w:rPr>
          <w:rFonts w:ascii="Arial" w:hAnsi="Arial" w:cs="Arial"/>
        </w:rPr>
      </w:pPr>
      <w:r>
        <w:rPr>
          <w:rFonts w:ascii="Arial" w:hAnsi="Arial" w:cs="Arial"/>
        </w:rPr>
        <w:t>All States/Territories will be required to enact new legislation to facilitate the NOLS requirements</w:t>
      </w:r>
    </w:p>
    <w:p w:rsidR="00345E4D" w:rsidRDefault="00345E4D" w:rsidP="0092270D">
      <w:pPr>
        <w:pStyle w:val="ListParagraph"/>
        <w:numPr>
          <w:ilvl w:val="0"/>
          <w:numId w:val="27"/>
        </w:numPr>
        <w:spacing w:line="288" w:lineRule="auto"/>
        <w:rPr>
          <w:rFonts w:ascii="Arial" w:hAnsi="Arial" w:cs="Arial"/>
        </w:rPr>
      </w:pPr>
      <w:r>
        <w:rPr>
          <w:rFonts w:ascii="Arial" w:hAnsi="Arial" w:cs="Arial"/>
        </w:rPr>
        <w:t>Any changes to the NOLS model will need to be agreed by all States/Territories, resulting in length consultation delays</w:t>
      </w:r>
    </w:p>
    <w:p w:rsidR="00345E4D" w:rsidRPr="009D282E" w:rsidRDefault="00345E4D" w:rsidP="0092270D">
      <w:pPr>
        <w:pStyle w:val="ListParagraph"/>
        <w:numPr>
          <w:ilvl w:val="0"/>
          <w:numId w:val="27"/>
        </w:numPr>
        <w:spacing w:line="288" w:lineRule="auto"/>
        <w:rPr>
          <w:rFonts w:ascii="Arial" w:hAnsi="Arial" w:cs="Arial"/>
        </w:rPr>
      </w:pPr>
      <w:r>
        <w:rPr>
          <w:rFonts w:ascii="Arial" w:hAnsi="Arial" w:cs="Arial"/>
        </w:rPr>
        <w:t>States/Territories may choose to withdraw from the NOLS arrangement at any time</w:t>
      </w:r>
    </w:p>
    <w:p w:rsidR="00345E4D" w:rsidRDefault="00345E4D" w:rsidP="00FC6EEF">
      <w:pPr>
        <w:spacing w:line="288" w:lineRule="auto"/>
        <w:rPr>
          <w:rFonts w:ascii="Arial" w:hAnsi="Arial" w:cs="Arial"/>
        </w:rPr>
      </w:pPr>
    </w:p>
    <w:p w:rsidR="00345E4D" w:rsidRDefault="00345E4D" w:rsidP="00FC6EEF">
      <w:pPr>
        <w:spacing w:line="288" w:lineRule="auto"/>
        <w:rPr>
          <w:rFonts w:ascii="Arial" w:hAnsi="Arial" w:cs="Arial"/>
        </w:rPr>
      </w:pPr>
      <w:r w:rsidRPr="00BD03E4">
        <w:rPr>
          <w:rFonts w:ascii="Arial" w:hAnsi="Arial" w:cs="Arial"/>
        </w:rPr>
        <w:t xml:space="preserve">Regulatory uncertainty is likely to be </w:t>
      </w:r>
      <w:r>
        <w:rPr>
          <w:rFonts w:ascii="Arial" w:hAnsi="Arial" w:cs="Arial"/>
        </w:rPr>
        <w:t xml:space="preserve">an </w:t>
      </w:r>
      <w:r w:rsidRPr="00BD03E4">
        <w:rPr>
          <w:rFonts w:ascii="Arial" w:hAnsi="Arial" w:cs="Arial"/>
        </w:rPr>
        <w:t>ongoing issue with this approach.</w:t>
      </w:r>
    </w:p>
    <w:p w:rsidR="00345E4D" w:rsidRDefault="00345E4D" w:rsidP="002A4E5F">
      <w:pPr>
        <w:autoSpaceDE w:val="0"/>
        <w:autoSpaceDN w:val="0"/>
        <w:adjustRightInd w:val="0"/>
        <w:jc w:val="left"/>
        <w:rPr>
          <w:rFonts w:ascii="Arial" w:hAnsi="Arial" w:cs="Arial"/>
          <w:sz w:val="28"/>
          <w:szCs w:val="28"/>
        </w:rPr>
      </w:pPr>
    </w:p>
    <w:p w:rsidR="00345E4D" w:rsidRPr="009A4159" w:rsidRDefault="00345E4D" w:rsidP="00A77654">
      <w:pPr>
        <w:pStyle w:val="Heading2"/>
      </w:pPr>
      <w:bookmarkStart w:id="15" w:name="_Toc310510827"/>
      <w:r w:rsidRPr="009A4159">
        <w:t>Option 5: Deemed licensing via the national credit act or a separate national licensing act</w:t>
      </w:r>
      <w:bookmarkEnd w:id="15"/>
    </w:p>
    <w:p w:rsidR="00345E4D" w:rsidRDefault="00345E4D" w:rsidP="00872973">
      <w:pPr>
        <w:spacing w:line="288" w:lineRule="auto"/>
        <w:rPr>
          <w:rFonts w:ascii="Arial" w:hAnsi="Arial" w:cs="Arial"/>
        </w:rPr>
      </w:pPr>
      <w:r w:rsidRPr="00BD03E4">
        <w:rPr>
          <w:rFonts w:ascii="Arial" w:hAnsi="Arial" w:cs="Arial"/>
        </w:rPr>
        <w:t>This option also potentially presents an opportunity for a national harmonised regulatory model to be adopted for the Collections sector.  While not our preferred option, ACDBA views this option as the next most appropriate model for the collections sector. It is certainly preferable to any continuation of State based positive licensing regimes.</w:t>
      </w:r>
    </w:p>
    <w:p w:rsidR="00345E4D" w:rsidRDefault="00345E4D" w:rsidP="00872973">
      <w:pPr>
        <w:spacing w:line="288" w:lineRule="auto"/>
        <w:rPr>
          <w:rFonts w:ascii="Arial" w:hAnsi="Arial" w:cs="Arial"/>
        </w:rPr>
      </w:pPr>
    </w:p>
    <w:p w:rsidR="00345E4D" w:rsidRPr="0092270D" w:rsidRDefault="00345E4D" w:rsidP="00872973">
      <w:pPr>
        <w:spacing w:line="288" w:lineRule="auto"/>
        <w:rPr>
          <w:rFonts w:ascii="Arial" w:hAnsi="Arial" w:cs="Arial"/>
        </w:rPr>
      </w:pPr>
      <w:r>
        <w:rPr>
          <w:rFonts w:ascii="Arial" w:hAnsi="Arial" w:cs="Arial"/>
        </w:rPr>
        <w:t xml:space="preserve">Should this model be adopted, </w:t>
      </w:r>
      <w:r w:rsidRPr="0092270D">
        <w:rPr>
          <w:rFonts w:ascii="Arial" w:hAnsi="Arial" w:cs="Arial"/>
        </w:rPr>
        <w:t xml:space="preserve">ACDBA envisages a regulatory model that would embrace key principles and concepts similar to the NCCP approach, but in a collector specific licensing regime.  </w:t>
      </w:r>
    </w:p>
    <w:p w:rsidR="00345E4D" w:rsidRDefault="00345E4D" w:rsidP="00872973">
      <w:pPr>
        <w:spacing w:line="288" w:lineRule="auto"/>
        <w:rPr>
          <w:rFonts w:ascii="Arial" w:hAnsi="Arial" w:cs="Arial"/>
        </w:rPr>
      </w:pPr>
    </w:p>
    <w:p w:rsidR="00345E4D" w:rsidRPr="0092270D" w:rsidRDefault="00345E4D" w:rsidP="00872973">
      <w:pPr>
        <w:spacing w:line="288" w:lineRule="auto"/>
        <w:rPr>
          <w:rFonts w:ascii="Arial" w:hAnsi="Arial" w:cs="Arial"/>
        </w:rPr>
      </w:pPr>
      <w:r w:rsidRPr="0092270D">
        <w:rPr>
          <w:rFonts w:ascii="Arial" w:hAnsi="Arial" w:cs="Arial"/>
        </w:rPr>
        <w:t>The key principles would incorporate the majority of the NCCP licensing obligations including:</w:t>
      </w:r>
    </w:p>
    <w:p w:rsidR="00345E4D" w:rsidRPr="0092270D" w:rsidRDefault="00345E4D" w:rsidP="00A913BF">
      <w:pPr>
        <w:pStyle w:val="ListParagraph"/>
        <w:numPr>
          <w:ilvl w:val="0"/>
          <w:numId w:val="29"/>
        </w:numPr>
        <w:spacing w:line="288" w:lineRule="auto"/>
        <w:rPr>
          <w:rFonts w:ascii="Arial" w:hAnsi="Arial" w:cs="Arial"/>
        </w:rPr>
      </w:pPr>
      <w:r w:rsidRPr="0092270D">
        <w:rPr>
          <w:rFonts w:ascii="Arial" w:hAnsi="Arial" w:cs="Arial"/>
        </w:rPr>
        <w:t>An overarching obligation to operate honestly, efficiently and fairly</w:t>
      </w:r>
    </w:p>
    <w:p w:rsidR="00345E4D" w:rsidRPr="0092270D" w:rsidRDefault="00345E4D" w:rsidP="00A913BF">
      <w:pPr>
        <w:pStyle w:val="ListParagraph"/>
        <w:numPr>
          <w:ilvl w:val="0"/>
          <w:numId w:val="29"/>
        </w:numPr>
        <w:spacing w:line="288" w:lineRule="auto"/>
        <w:rPr>
          <w:rFonts w:ascii="Arial" w:hAnsi="Arial" w:cs="Arial"/>
        </w:rPr>
      </w:pPr>
      <w:r w:rsidRPr="0092270D">
        <w:rPr>
          <w:rFonts w:ascii="Arial" w:hAnsi="Arial" w:cs="Arial"/>
        </w:rPr>
        <w:t>Business entity, not individual, licencing</w:t>
      </w:r>
    </w:p>
    <w:p w:rsidR="00345E4D" w:rsidRPr="0092270D" w:rsidRDefault="00345E4D" w:rsidP="00A913BF">
      <w:pPr>
        <w:pStyle w:val="ListParagraph"/>
        <w:numPr>
          <w:ilvl w:val="0"/>
          <w:numId w:val="29"/>
        </w:numPr>
        <w:spacing w:line="288" w:lineRule="auto"/>
        <w:rPr>
          <w:rFonts w:ascii="Arial" w:hAnsi="Arial" w:cs="Arial"/>
        </w:rPr>
      </w:pPr>
      <w:r w:rsidRPr="0092270D">
        <w:rPr>
          <w:rFonts w:ascii="Arial" w:hAnsi="Arial" w:cs="Arial"/>
        </w:rPr>
        <w:t>Responsible manager appointments</w:t>
      </w:r>
    </w:p>
    <w:p w:rsidR="00345E4D" w:rsidRPr="0092270D" w:rsidRDefault="00345E4D" w:rsidP="00A913BF">
      <w:pPr>
        <w:pStyle w:val="ListParagraph"/>
        <w:numPr>
          <w:ilvl w:val="0"/>
          <w:numId w:val="29"/>
        </w:numPr>
        <w:spacing w:line="288" w:lineRule="auto"/>
        <w:rPr>
          <w:rFonts w:ascii="Arial" w:hAnsi="Arial" w:cs="Arial"/>
        </w:rPr>
      </w:pPr>
      <w:r w:rsidRPr="0092270D">
        <w:rPr>
          <w:rFonts w:ascii="Arial" w:hAnsi="Arial" w:cs="Arial"/>
        </w:rPr>
        <w:t>Competency &amp; training obligations</w:t>
      </w:r>
    </w:p>
    <w:p w:rsidR="00345E4D" w:rsidRPr="0092270D" w:rsidRDefault="00345E4D" w:rsidP="00A913BF">
      <w:pPr>
        <w:pStyle w:val="ListParagraph"/>
        <w:numPr>
          <w:ilvl w:val="0"/>
          <w:numId w:val="29"/>
        </w:numPr>
        <w:spacing w:line="288" w:lineRule="auto"/>
        <w:rPr>
          <w:rFonts w:ascii="Arial" w:hAnsi="Arial" w:cs="Arial"/>
        </w:rPr>
      </w:pPr>
      <w:r w:rsidRPr="0092270D">
        <w:rPr>
          <w:rFonts w:ascii="Arial" w:hAnsi="Arial" w:cs="Arial"/>
        </w:rPr>
        <w:t>Resource adequacy obligations – human, technological and financial</w:t>
      </w:r>
    </w:p>
    <w:p w:rsidR="00345E4D" w:rsidRPr="0092270D" w:rsidRDefault="00345E4D" w:rsidP="00A913BF">
      <w:pPr>
        <w:pStyle w:val="ListParagraph"/>
        <w:numPr>
          <w:ilvl w:val="0"/>
          <w:numId w:val="29"/>
        </w:numPr>
        <w:spacing w:line="288" w:lineRule="auto"/>
        <w:rPr>
          <w:rFonts w:ascii="Arial" w:hAnsi="Arial" w:cs="Arial"/>
        </w:rPr>
      </w:pPr>
      <w:r w:rsidRPr="0092270D">
        <w:rPr>
          <w:rFonts w:ascii="Arial" w:hAnsi="Arial" w:cs="Arial"/>
        </w:rPr>
        <w:t>Compensation arrangements</w:t>
      </w:r>
    </w:p>
    <w:p w:rsidR="00345E4D" w:rsidRDefault="00345E4D" w:rsidP="00503AF2">
      <w:pPr>
        <w:jc w:val="left"/>
        <w:rPr>
          <w:rFonts w:ascii="Arial" w:hAnsi="Arial" w:cs="Arial"/>
        </w:rPr>
      </w:pPr>
    </w:p>
    <w:p w:rsidR="00345E4D" w:rsidRPr="0092270D" w:rsidRDefault="00345E4D" w:rsidP="0092270D">
      <w:pPr>
        <w:rPr>
          <w:rFonts w:ascii="Arial" w:hAnsi="Arial" w:cs="Arial"/>
        </w:rPr>
      </w:pPr>
      <w:r w:rsidRPr="0092270D">
        <w:rPr>
          <w:rFonts w:ascii="Arial" w:hAnsi="Arial" w:cs="Arial"/>
        </w:rPr>
        <w:t>The approach can be scalable and can accommodate some differences in obligations, depending on operational scope.</w:t>
      </w:r>
    </w:p>
    <w:p w:rsidR="00345E4D" w:rsidRPr="0092270D" w:rsidRDefault="00345E4D" w:rsidP="0092270D">
      <w:pPr>
        <w:rPr>
          <w:rFonts w:ascii="Arial" w:hAnsi="Arial" w:cs="Arial"/>
        </w:rPr>
      </w:pPr>
    </w:p>
    <w:p w:rsidR="00345E4D" w:rsidRDefault="00345E4D">
      <w:pPr>
        <w:jc w:val="left"/>
        <w:rPr>
          <w:rFonts w:ascii="Arial" w:hAnsi="Arial" w:cs="Arial"/>
        </w:rPr>
      </w:pPr>
      <w:r>
        <w:rPr>
          <w:rFonts w:ascii="Arial" w:hAnsi="Arial" w:cs="Arial"/>
        </w:rPr>
        <w:br w:type="page"/>
      </w:r>
    </w:p>
    <w:p w:rsidR="00345E4D" w:rsidRPr="0092270D" w:rsidRDefault="00345E4D" w:rsidP="0092270D">
      <w:pPr>
        <w:rPr>
          <w:rFonts w:ascii="Arial" w:hAnsi="Arial" w:cs="Arial"/>
        </w:rPr>
      </w:pPr>
      <w:r w:rsidRPr="0092270D">
        <w:rPr>
          <w:rFonts w:ascii="Arial" w:hAnsi="Arial" w:cs="Arial"/>
        </w:rPr>
        <w:t>We consider some of these obligations in the col</w:t>
      </w:r>
      <w:r>
        <w:rPr>
          <w:rFonts w:ascii="Arial" w:hAnsi="Arial" w:cs="Arial"/>
        </w:rPr>
        <w:t>lections context in more detail:</w:t>
      </w:r>
    </w:p>
    <w:p w:rsidR="00345E4D" w:rsidRDefault="00345E4D" w:rsidP="00503AF2">
      <w:pPr>
        <w:jc w:val="left"/>
        <w:rPr>
          <w:rFonts w:ascii="Arial" w:hAnsi="Arial" w:cs="Arial"/>
        </w:rPr>
      </w:pPr>
    </w:p>
    <w:p w:rsidR="00345E4D" w:rsidRPr="00A84983" w:rsidRDefault="00345E4D" w:rsidP="0092270D">
      <w:pPr>
        <w:pStyle w:val="Heading3"/>
      </w:pPr>
      <w:bookmarkStart w:id="16" w:name="_Toc310510828"/>
      <w:r w:rsidRPr="00A84983">
        <w:t>Business entity licensing</w:t>
      </w:r>
      <w:bookmarkEnd w:id="16"/>
    </w:p>
    <w:p w:rsidR="00345E4D" w:rsidRPr="00A84983" w:rsidRDefault="00345E4D" w:rsidP="00A84983">
      <w:pPr>
        <w:spacing w:line="288" w:lineRule="auto"/>
        <w:rPr>
          <w:rFonts w:ascii="Arial" w:hAnsi="Arial" w:cs="Arial"/>
        </w:rPr>
      </w:pPr>
      <w:r w:rsidRPr="00BD03E4">
        <w:rPr>
          <w:rFonts w:ascii="Arial" w:hAnsi="Arial" w:cs="Arial"/>
        </w:rPr>
        <w:t>Should this model be preferred to negative licensing, then licensing</w:t>
      </w:r>
      <w:r w:rsidRPr="00A84983">
        <w:rPr>
          <w:rFonts w:ascii="Arial" w:hAnsi="Arial" w:cs="Arial"/>
        </w:rPr>
        <w:t xml:space="preserve"> of the business entity/organisation should be regarded as the appropriate level for regulations rather than any regulatory scheme being directed at individual employees of a business. </w:t>
      </w:r>
      <w:r>
        <w:rPr>
          <w:rFonts w:ascii="Arial" w:hAnsi="Arial" w:cs="Arial"/>
        </w:rPr>
        <w:t xml:space="preserve"> It is at the organisational level that all contractual arrangements are made and all employers are responsible for employee/contractor conduct.</w:t>
      </w:r>
    </w:p>
    <w:p w:rsidR="00345E4D" w:rsidRDefault="00345E4D" w:rsidP="00FF4AD1">
      <w:pPr>
        <w:pStyle w:val="ListParagraph"/>
        <w:spacing w:line="288" w:lineRule="auto"/>
        <w:rPr>
          <w:rFonts w:ascii="Arial" w:hAnsi="Arial" w:cs="Arial"/>
        </w:rPr>
      </w:pPr>
    </w:p>
    <w:p w:rsidR="00345E4D" w:rsidRPr="00A84983" w:rsidRDefault="00345E4D" w:rsidP="00A84983">
      <w:pPr>
        <w:spacing w:line="288" w:lineRule="auto"/>
        <w:rPr>
          <w:rFonts w:ascii="Arial" w:hAnsi="Arial" w:cs="Arial"/>
        </w:rPr>
      </w:pPr>
      <w:r w:rsidRPr="00A84983">
        <w:rPr>
          <w:rFonts w:ascii="Arial" w:hAnsi="Arial" w:cs="Arial"/>
        </w:rPr>
        <w:t>It should be incumbent upon the organisation to maintain its competence in engaging in the collection activities of its business. What would be required of each business to maintain its competence would ultimately depend upon the nature, scale and complexity of the business including its size, the activities undertaken and actual roles performed in the business unit by individual employees.</w:t>
      </w:r>
    </w:p>
    <w:p w:rsidR="00345E4D" w:rsidRDefault="00345E4D" w:rsidP="00FF4AD1">
      <w:pPr>
        <w:pStyle w:val="ListParagraph"/>
        <w:spacing w:line="288" w:lineRule="auto"/>
        <w:rPr>
          <w:rFonts w:ascii="Arial" w:hAnsi="Arial" w:cs="Arial"/>
        </w:rPr>
      </w:pPr>
    </w:p>
    <w:p w:rsidR="00345E4D" w:rsidRPr="00A84983" w:rsidRDefault="00345E4D" w:rsidP="00A84983">
      <w:pPr>
        <w:spacing w:line="288" w:lineRule="auto"/>
        <w:rPr>
          <w:rFonts w:ascii="Arial" w:hAnsi="Arial" w:cs="Arial"/>
        </w:rPr>
      </w:pPr>
      <w:r w:rsidRPr="00A84983">
        <w:rPr>
          <w:rFonts w:ascii="Arial" w:hAnsi="Arial" w:cs="Arial"/>
        </w:rPr>
        <w:t>ACDBA members accept</w:t>
      </w:r>
      <w:r>
        <w:rPr>
          <w:rFonts w:ascii="Arial" w:hAnsi="Arial" w:cs="Arial"/>
        </w:rPr>
        <w:t>,</w:t>
      </w:r>
      <w:r w:rsidRPr="00A84983">
        <w:rPr>
          <w:rFonts w:ascii="Arial" w:hAnsi="Arial" w:cs="Arial"/>
        </w:rPr>
        <w:t xml:space="preserve"> and understand</w:t>
      </w:r>
      <w:r>
        <w:rPr>
          <w:rFonts w:ascii="Arial" w:hAnsi="Arial" w:cs="Arial"/>
        </w:rPr>
        <w:t>,</w:t>
      </w:r>
      <w:r w:rsidRPr="00A84983">
        <w:rPr>
          <w:rFonts w:ascii="Arial" w:hAnsi="Arial" w:cs="Arial"/>
        </w:rPr>
        <w:t xml:space="preserve"> that as employers they are liable and responsible for the activities of their employees at work.  </w:t>
      </w:r>
      <w:r>
        <w:rPr>
          <w:rFonts w:ascii="Arial" w:hAnsi="Arial" w:cs="Arial"/>
        </w:rPr>
        <w:t>Individual employees should not be held accountable for non-compliant business policy and management as they are not in a position to influence those decisions.</w:t>
      </w:r>
    </w:p>
    <w:p w:rsidR="00345E4D" w:rsidRDefault="00345E4D" w:rsidP="00FF4AD1">
      <w:pPr>
        <w:pStyle w:val="ListParagraph"/>
        <w:spacing w:line="288" w:lineRule="auto"/>
        <w:rPr>
          <w:rFonts w:ascii="Arial" w:hAnsi="Arial" w:cs="Arial"/>
        </w:rPr>
      </w:pPr>
    </w:p>
    <w:p w:rsidR="00345E4D" w:rsidRDefault="00345E4D" w:rsidP="00EA3FA5">
      <w:pPr>
        <w:spacing w:line="288" w:lineRule="auto"/>
        <w:rPr>
          <w:rFonts w:ascii="Arial" w:hAnsi="Arial" w:cs="Arial"/>
        </w:rPr>
      </w:pPr>
      <w:r w:rsidRPr="00BD03E4">
        <w:rPr>
          <w:rFonts w:ascii="Arial" w:hAnsi="Arial" w:cs="Arial"/>
        </w:rPr>
        <w:t>We would be prepared to</w:t>
      </w:r>
      <w:r>
        <w:rPr>
          <w:rFonts w:ascii="Arial" w:hAnsi="Arial" w:cs="Arial"/>
        </w:rPr>
        <w:t xml:space="preserve"> support the licensing of business entities and placing the obligation on those licensees to manage their staff in keeping with their licensing obligations and sound business practice.</w:t>
      </w:r>
    </w:p>
    <w:p w:rsidR="00345E4D" w:rsidRPr="00EA3FA5" w:rsidRDefault="00345E4D" w:rsidP="00EA3FA5">
      <w:pPr>
        <w:spacing w:line="288" w:lineRule="auto"/>
        <w:rPr>
          <w:rFonts w:ascii="Arial" w:hAnsi="Arial" w:cs="Arial"/>
        </w:rPr>
      </w:pPr>
    </w:p>
    <w:p w:rsidR="00345E4D" w:rsidRPr="00A84983" w:rsidRDefault="00345E4D" w:rsidP="0092270D">
      <w:pPr>
        <w:pStyle w:val="Heading3"/>
      </w:pPr>
      <w:bookmarkStart w:id="17" w:name="_Toc310510829"/>
      <w:r w:rsidRPr="00A84983">
        <w:t xml:space="preserve">Responsible </w:t>
      </w:r>
      <w:r>
        <w:t>managers</w:t>
      </w:r>
      <w:bookmarkEnd w:id="17"/>
    </w:p>
    <w:p w:rsidR="00345E4D" w:rsidRDefault="00345E4D" w:rsidP="00A84983">
      <w:pPr>
        <w:spacing w:line="288" w:lineRule="auto"/>
        <w:rPr>
          <w:rFonts w:ascii="Arial" w:hAnsi="Arial" w:cs="Arial"/>
        </w:rPr>
      </w:pPr>
      <w:r w:rsidRPr="00A84983">
        <w:rPr>
          <w:rFonts w:ascii="Arial" w:hAnsi="Arial" w:cs="Arial"/>
        </w:rPr>
        <w:t xml:space="preserve">In respect to the obligation to maintain competence to engage in the collection activities of their businesses, ACDBA members </w:t>
      </w:r>
      <w:r>
        <w:rPr>
          <w:rFonts w:ascii="Arial" w:hAnsi="Arial" w:cs="Arial"/>
        </w:rPr>
        <w:t xml:space="preserve">could </w:t>
      </w:r>
      <w:r w:rsidRPr="00A84983">
        <w:rPr>
          <w:rFonts w:ascii="Arial" w:hAnsi="Arial" w:cs="Arial"/>
        </w:rPr>
        <w:t>accept that it would be appropriate to require them to have responsible managers identified in respect to their business licence.</w:t>
      </w:r>
      <w:r>
        <w:rPr>
          <w:rFonts w:ascii="Arial" w:hAnsi="Arial" w:cs="Arial"/>
        </w:rPr>
        <w:t xml:space="preserve">  </w:t>
      </w:r>
    </w:p>
    <w:p w:rsidR="00345E4D" w:rsidRDefault="00345E4D" w:rsidP="00A84983">
      <w:pPr>
        <w:spacing w:line="288" w:lineRule="auto"/>
        <w:rPr>
          <w:rFonts w:ascii="Arial" w:hAnsi="Arial" w:cs="Arial"/>
        </w:rPr>
      </w:pPr>
    </w:p>
    <w:p w:rsidR="00345E4D" w:rsidRPr="00A84983" w:rsidRDefault="00345E4D" w:rsidP="00A84983">
      <w:pPr>
        <w:spacing w:line="288" w:lineRule="auto"/>
        <w:rPr>
          <w:rFonts w:ascii="Arial" w:hAnsi="Arial" w:cs="Arial"/>
        </w:rPr>
      </w:pPr>
      <w:r>
        <w:rPr>
          <w:rFonts w:ascii="Arial" w:hAnsi="Arial" w:cs="Arial"/>
        </w:rPr>
        <w:t>In effect, this approach would simply reflect current operational structures.  It would, however, emphasise the importance of the managerial role in ensuring regulatory compliance, particularly given the personal consequences involved if the persons concerned do not discharge their duties responsibly.</w:t>
      </w:r>
    </w:p>
    <w:p w:rsidR="00345E4D" w:rsidRDefault="00345E4D" w:rsidP="00E75444">
      <w:pPr>
        <w:pStyle w:val="ListParagraph"/>
        <w:spacing w:line="288" w:lineRule="auto"/>
        <w:rPr>
          <w:rFonts w:ascii="Arial" w:hAnsi="Arial" w:cs="Arial"/>
        </w:rPr>
      </w:pPr>
    </w:p>
    <w:p w:rsidR="00345E4D" w:rsidRPr="00A84983" w:rsidRDefault="00345E4D" w:rsidP="00A84983">
      <w:pPr>
        <w:spacing w:line="288" w:lineRule="auto"/>
        <w:rPr>
          <w:rFonts w:ascii="Arial" w:hAnsi="Arial" w:cs="Arial"/>
        </w:rPr>
      </w:pPr>
      <w:r>
        <w:rPr>
          <w:rFonts w:ascii="Arial" w:hAnsi="Arial" w:cs="Arial"/>
        </w:rPr>
        <w:t>ASIC has identified what it considers to be appropriate criteria for responsible managers to meet.  Under a debt collector regime,</w:t>
      </w:r>
      <w:r w:rsidRPr="00A84983">
        <w:rPr>
          <w:rFonts w:ascii="Arial" w:hAnsi="Arial" w:cs="Arial"/>
        </w:rPr>
        <w:t xml:space="preserve"> responsible managers might, for example, be required to have at least two years relevant problem free experience with appropriate qualifications in the area of the member’s business</w:t>
      </w:r>
      <w:r>
        <w:rPr>
          <w:rFonts w:ascii="Arial" w:hAnsi="Arial" w:cs="Arial"/>
        </w:rPr>
        <w:t xml:space="preserve">.  Those qualifications could cover tertiary level </w:t>
      </w:r>
      <w:r w:rsidRPr="00A84983">
        <w:rPr>
          <w:rFonts w:ascii="Arial" w:hAnsi="Arial" w:cs="Arial"/>
        </w:rPr>
        <w:t>collections</w:t>
      </w:r>
      <w:r>
        <w:rPr>
          <w:rFonts w:ascii="Arial" w:hAnsi="Arial" w:cs="Arial"/>
        </w:rPr>
        <w:t xml:space="preserve"> courses</w:t>
      </w:r>
      <w:r w:rsidRPr="00A84983">
        <w:rPr>
          <w:rFonts w:ascii="Arial" w:hAnsi="Arial" w:cs="Arial"/>
        </w:rPr>
        <w:t xml:space="preserve"> or relevant higher level qualification such as a diploma or a university degree.</w:t>
      </w:r>
    </w:p>
    <w:p w:rsidR="00345E4D" w:rsidRDefault="00345E4D" w:rsidP="00EA3FA5">
      <w:pPr>
        <w:spacing w:line="288" w:lineRule="auto"/>
        <w:rPr>
          <w:rFonts w:ascii="Arial" w:hAnsi="Arial" w:cs="Arial"/>
        </w:rPr>
      </w:pPr>
    </w:p>
    <w:p w:rsidR="00345E4D" w:rsidRDefault="00345E4D" w:rsidP="00EA3FA5">
      <w:pPr>
        <w:spacing w:line="288" w:lineRule="auto"/>
        <w:rPr>
          <w:rFonts w:ascii="Arial" w:hAnsi="Arial" w:cs="Arial"/>
        </w:rPr>
      </w:pPr>
      <w:r w:rsidRPr="00BD03E4">
        <w:rPr>
          <w:rFonts w:ascii="Arial" w:hAnsi="Arial" w:cs="Arial"/>
        </w:rPr>
        <w:t>We may be prepared to support the appointment of responsible managers and the establishment of appropriate appointment criteria should this be the agreed model.</w:t>
      </w:r>
    </w:p>
    <w:p w:rsidR="00345E4D" w:rsidRPr="00EA3FA5" w:rsidRDefault="00345E4D" w:rsidP="00EA3FA5">
      <w:pPr>
        <w:spacing w:line="288" w:lineRule="auto"/>
        <w:rPr>
          <w:rFonts w:ascii="Arial" w:hAnsi="Arial" w:cs="Arial"/>
        </w:rPr>
      </w:pPr>
    </w:p>
    <w:p w:rsidR="00345E4D" w:rsidRPr="00F00073" w:rsidRDefault="00345E4D" w:rsidP="0092270D">
      <w:pPr>
        <w:pStyle w:val="Heading3"/>
      </w:pPr>
      <w:bookmarkStart w:id="18" w:name="_Toc310510830"/>
      <w:r w:rsidRPr="00F00073">
        <w:t>Organisational competence</w:t>
      </w:r>
      <w:bookmarkEnd w:id="18"/>
    </w:p>
    <w:p w:rsidR="00345E4D" w:rsidRDefault="00345E4D" w:rsidP="00F00073">
      <w:pPr>
        <w:spacing w:line="288" w:lineRule="auto"/>
        <w:rPr>
          <w:rFonts w:ascii="Arial" w:hAnsi="Arial" w:cs="Arial"/>
        </w:rPr>
      </w:pPr>
      <w:r>
        <w:rPr>
          <w:rFonts w:ascii="Arial" w:hAnsi="Arial" w:cs="Arial"/>
        </w:rPr>
        <w:t>Organisational competence is central to any contingent collector or debt purchaser obtaining business. If this cannot be demonstrated, then creditors will not refer accounts for collection.  Including organisational competence as a licensing requirement would simply mandate what is current commercial practice.</w:t>
      </w:r>
    </w:p>
    <w:p w:rsidR="00345E4D" w:rsidRDefault="00345E4D" w:rsidP="00F00073">
      <w:pPr>
        <w:spacing w:line="288" w:lineRule="auto"/>
        <w:rPr>
          <w:rFonts w:ascii="Arial" w:hAnsi="Arial" w:cs="Arial"/>
        </w:rPr>
      </w:pPr>
    </w:p>
    <w:p w:rsidR="00345E4D" w:rsidRDefault="00345E4D">
      <w:pPr>
        <w:jc w:val="left"/>
        <w:rPr>
          <w:rFonts w:ascii="Arial" w:hAnsi="Arial" w:cs="Arial"/>
        </w:rPr>
      </w:pPr>
      <w:r>
        <w:rPr>
          <w:rFonts w:ascii="Arial" w:hAnsi="Arial" w:cs="Arial"/>
        </w:rPr>
        <w:br w:type="page"/>
      </w:r>
    </w:p>
    <w:p w:rsidR="00345E4D" w:rsidRPr="00F00073" w:rsidRDefault="00345E4D" w:rsidP="00F00073">
      <w:pPr>
        <w:spacing w:line="288" w:lineRule="auto"/>
        <w:rPr>
          <w:rFonts w:ascii="Arial" w:hAnsi="Arial" w:cs="Arial"/>
        </w:rPr>
      </w:pPr>
      <w:r w:rsidRPr="00F00073">
        <w:rPr>
          <w:rFonts w:ascii="Arial" w:hAnsi="Arial" w:cs="Arial"/>
        </w:rPr>
        <w:t>It follows that measures would need to be in place to ensure the business maintains its organisational competence at all times including having measures in place for:</w:t>
      </w:r>
    </w:p>
    <w:p w:rsidR="00345E4D" w:rsidRDefault="00345E4D" w:rsidP="00E75444">
      <w:pPr>
        <w:pStyle w:val="ListParagraph"/>
        <w:spacing w:line="288" w:lineRule="auto"/>
        <w:rPr>
          <w:rFonts w:ascii="Arial" w:hAnsi="Arial" w:cs="Arial"/>
        </w:rPr>
      </w:pPr>
    </w:p>
    <w:p w:rsidR="00345E4D" w:rsidRPr="0092270D" w:rsidRDefault="00345E4D" w:rsidP="0092270D">
      <w:pPr>
        <w:pStyle w:val="ListParagraph"/>
        <w:numPr>
          <w:ilvl w:val="0"/>
          <w:numId w:val="29"/>
        </w:numPr>
        <w:spacing w:line="288" w:lineRule="auto"/>
        <w:rPr>
          <w:rFonts w:ascii="Arial" w:hAnsi="Arial" w:cs="Arial"/>
        </w:rPr>
      </w:pPr>
      <w:r w:rsidRPr="0092270D">
        <w:rPr>
          <w:rFonts w:ascii="Arial" w:hAnsi="Arial" w:cs="Arial"/>
        </w:rPr>
        <w:t>The review of organisational competence on a regular basis or whenever responsible managers change;</w:t>
      </w:r>
    </w:p>
    <w:p w:rsidR="00345E4D" w:rsidRPr="0092270D" w:rsidRDefault="00345E4D" w:rsidP="0092270D">
      <w:pPr>
        <w:pStyle w:val="ListParagraph"/>
        <w:spacing w:line="288" w:lineRule="auto"/>
        <w:rPr>
          <w:rFonts w:ascii="Arial" w:hAnsi="Arial" w:cs="Arial"/>
        </w:rPr>
      </w:pPr>
    </w:p>
    <w:p w:rsidR="00345E4D" w:rsidRPr="0092270D" w:rsidRDefault="00345E4D" w:rsidP="0092270D">
      <w:pPr>
        <w:pStyle w:val="ListParagraph"/>
        <w:numPr>
          <w:ilvl w:val="0"/>
          <w:numId w:val="29"/>
        </w:numPr>
        <w:spacing w:line="288" w:lineRule="auto"/>
        <w:rPr>
          <w:rFonts w:ascii="Arial" w:hAnsi="Arial" w:cs="Arial"/>
        </w:rPr>
      </w:pPr>
      <w:r w:rsidRPr="0092270D">
        <w:rPr>
          <w:rFonts w:ascii="Arial" w:hAnsi="Arial" w:cs="Arial"/>
        </w:rPr>
        <w:t>The maintenance and updating of qualifications and experience of responsible managers and ensuring that responsible managers undertake a certain level of continuing professional development - perhaps 20 hours per year for consistency with the obligations imposed upon licensees under the National Credit Act; and</w:t>
      </w:r>
    </w:p>
    <w:p w:rsidR="00345E4D" w:rsidRPr="0092270D" w:rsidRDefault="00345E4D" w:rsidP="0092270D">
      <w:pPr>
        <w:pStyle w:val="ListParagraph"/>
        <w:spacing w:line="288" w:lineRule="auto"/>
        <w:rPr>
          <w:rFonts w:ascii="Arial" w:hAnsi="Arial" w:cs="Arial"/>
        </w:rPr>
      </w:pPr>
    </w:p>
    <w:p w:rsidR="00345E4D" w:rsidRPr="0092270D" w:rsidRDefault="00345E4D" w:rsidP="0092270D">
      <w:pPr>
        <w:pStyle w:val="ListParagraph"/>
        <w:numPr>
          <w:ilvl w:val="0"/>
          <w:numId w:val="29"/>
        </w:numPr>
        <w:spacing w:line="288" w:lineRule="auto"/>
        <w:rPr>
          <w:rFonts w:ascii="Arial" w:hAnsi="Arial" w:cs="Arial"/>
        </w:rPr>
      </w:pPr>
      <w:r w:rsidRPr="0092270D">
        <w:rPr>
          <w:rFonts w:ascii="Arial" w:hAnsi="Arial" w:cs="Arial"/>
        </w:rPr>
        <w:t>The keeping of records showing the business has reviewed its organisational competence and the steps taken to maintain such competence.</w:t>
      </w:r>
    </w:p>
    <w:p w:rsidR="00345E4D" w:rsidRDefault="00345E4D" w:rsidP="00EA3FA5">
      <w:pPr>
        <w:spacing w:line="288" w:lineRule="auto"/>
        <w:rPr>
          <w:rFonts w:ascii="Arial" w:hAnsi="Arial" w:cs="Arial"/>
        </w:rPr>
      </w:pPr>
    </w:p>
    <w:p w:rsidR="00345E4D" w:rsidRDefault="00345E4D" w:rsidP="00EA3FA5">
      <w:pPr>
        <w:spacing w:line="288" w:lineRule="auto"/>
        <w:rPr>
          <w:rFonts w:ascii="Arial" w:hAnsi="Arial" w:cs="Arial"/>
        </w:rPr>
      </w:pPr>
      <w:r w:rsidRPr="00BD03E4">
        <w:rPr>
          <w:rFonts w:ascii="Arial" w:hAnsi="Arial" w:cs="Arial"/>
        </w:rPr>
        <w:t>We may be prepared to support a positive competence obligation.</w:t>
      </w:r>
    </w:p>
    <w:p w:rsidR="00345E4D" w:rsidRPr="00EA3FA5" w:rsidRDefault="00345E4D" w:rsidP="00EA3FA5">
      <w:pPr>
        <w:spacing w:line="288" w:lineRule="auto"/>
        <w:rPr>
          <w:rFonts w:ascii="Arial" w:hAnsi="Arial" w:cs="Arial"/>
        </w:rPr>
      </w:pPr>
    </w:p>
    <w:p w:rsidR="00345E4D" w:rsidRPr="00F00073" w:rsidRDefault="00345E4D" w:rsidP="0092270D">
      <w:pPr>
        <w:pStyle w:val="Heading3"/>
      </w:pPr>
      <w:bookmarkStart w:id="19" w:name="_Toc310510831"/>
      <w:r w:rsidRPr="00F00073">
        <w:t>Training of employees</w:t>
      </w:r>
      <w:bookmarkEnd w:id="19"/>
    </w:p>
    <w:p w:rsidR="00345E4D" w:rsidRDefault="00345E4D" w:rsidP="00F00073">
      <w:pPr>
        <w:spacing w:line="288" w:lineRule="auto"/>
        <w:rPr>
          <w:rFonts w:ascii="Arial" w:hAnsi="Arial" w:cs="Arial"/>
        </w:rPr>
      </w:pPr>
      <w:r w:rsidRPr="00F00073">
        <w:rPr>
          <w:rFonts w:ascii="Arial" w:hAnsi="Arial" w:cs="Arial"/>
        </w:rPr>
        <w:t xml:space="preserve">ACDBA members accept their responsibility to ensure their employees are adequately trained and competent to engage in the collection activities undertaken.   </w:t>
      </w:r>
      <w:r>
        <w:rPr>
          <w:rFonts w:ascii="Arial" w:hAnsi="Arial" w:cs="Arial"/>
        </w:rPr>
        <w:t>Again, staff competence is crucial to commercial success.  Training requirements, however, will vary across businesses depending on business model and the scope of the duties required.</w:t>
      </w:r>
    </w:p>
    <w:p w:rsidR="00345E4D" w:rsidRDefault="00345E4D" w:rsidP="00F00073">
      <w:pPr>
        <w:spacing w:line="288" w:lineRule="auto"/>
        <w:rPr>
          <w:rFonts w:ascii="Arial" w:hAnsi="Arial" w:cs="Arial"/>
        </w:rPr>
      </w:pPr>
    </w:p>
    <w:p w:rsidR="00345E4D" w:rsidRDefault="00345E4D" w:rsidP="00796771">
      <w:pPr>
        <w:autoSpaceDE w:val="0"/>
        <w:autoSpaceDN w:val="0"/>
        <w:adjustRightInd w:val="0"/>
        <w:spacing w:line="288" w:lineRule="auto"/>
        <w:rPr>
          <w:rFonts w:ascii="Arial" w:hAnsi="Arial" w:cs="Arial"/>
          <w:szCs w:val="22"/>
        </w:rPr>
      </w:pPr>
      <w:r>
        <w:rPr>
          <w:rFonts w:ascii="Arial" w:hAnsi="Arial" w:cs="Arial"/>
          <w:szCs w:val="22"/>
        </w:rPr>
        <w:t>Currently, t</w:t>
      </w:r>
      <w:r w:rsidRPr="007C21B8">
        <w:rPr>
          <w:rFonts w:ascii="Arial" w:hAnsi="Arial" w:cs="Arial"/>
          <w:szCs w:val="22"/>
        </w:rPr>
        <w:t xml:space="preserve">raining obligations for the </w:t>
      </w:r>
      <w:r>
        <w:rPr>
          <w:rFonts w:ascii="Arial" w:hAnsi="Arial" w:cs="Arial"/>
          <w:szCs w:val="22"/>
        </w:rPr>
        <w:t>Collectors sector</w:t>
      </w:r>
      <w:r w:rsidRPr="007C21B8">
        <w:rPr>
          <w:rFonts w:ascii="Arial" w:hAnsi="Arial" w:cs="Arial"/>
          <w:szCs w:val="22"/>
        </w:rPr>
        <w:t xml:space="preserve"> across State and Territory jurisdictions vary from the Code of Conduct approach taken in Queensland, which places a positive onus on businesses to ensure a commercial agent has a reasonable knowledge and understanding of PAMDA and the Code</w:t>
      </w:r>
      <w:r w:rsidRPr="007C21B8">
        <w:rPr>
          <w:rStyle w:val="FootnoteReference"/>
          <w:rFonts w:ascii="Arial" w:hAnsi="Arial" w:cs="Arial"/>
          <w:szCs w:val="22"/>
        </w:rPr>
        <w:footnoteReference w:id="4"/>
      </w:r>
      <w:r w:rsidRPr="007C21B8">
        <w:rPr>
          <w:rFonts w:ascii="Arial" w:hAnsi="Arial" w:cs="Arial"/>
          <w:szCs w:val="22"/>
        </w:rPr>
        <w:t xml:space="preserve"> to no specific requirements, as is currently the situation in</w:t>
      </w:r>
      <w:r>
        <w:rPr>
          <w:rFonts w:ascii="Arial" w:hAnsi="Arial" w:cs="Arial"/>
          <w:szCs w:val="22"/>
        </w:rPr>
        <w:t xml:space="preserve"> a number of jurisdictions such as</w:t>
      </w:r>
      <w:r w:rsidRPr="007C21B8">
        <w:rPr>
          <w:rFonts w:ascii="Arial" w:hAnsi="Arial" w:cs="Arial"/>
          <w:szCs w:val="22"/>
        </w:rPr>
        <w:t xml:space="preserve"> Victoria.</w:t>
      </w:r>
    </w:p>
    <w:p w:rsidR="00345E4D" w:rsidRPr="007C21B8" w:rsidRDefault="00345E4D" w:rsidP="00796771">
      <w:pPr>
        <w:autoSpaceDE w:val="0"/>
        <w:autoSpaceDN w:val="0"/>
        <w:adjustRightInd w:val="0"/>
        <w:spacing w:line="288" w:lineRule="auto"/>
        <w:rPr>
          <w:rFonts w:ascii="Arial" w:hAnsi="Arial" w:cs="Arial"/>
          <w:szCs w:val="22"/>
        </w:rPr>
      </w:pPr>
    </w:p>
    <w:p w:rsidR="00345E4D" w:rsidRDefault="00345E4D" w:rsidP="00796771">
      <w:pPr>
        <w:autoSpaceDE w:val="0"/>
        <w:autoSpaceDN w:val="0"/>
        <w:adjustRightInd w:val="0"/>
        <w:spacing w:line="288" w:lineRule="auto"/>
        <w:rPr>
          <w:rFonts w:ascii="Arial" w:hAnsi="Arial" w:cs="Arial"/>
          <w:szCs w:val="22"/>
        </w:rPr>
      </w:pPr>
      <w:r w:rsidRPr="007C21B8">
        <w:rPr>
          <w:rFonts w:ascii="Arial" w:hAnsi="Arial" w:cs="Arial"/>
          <w:szCs w:val="22"/>
        </w:rPr>
        <w:t>In NSW collectors are required to complete modules from the Financial Services (Mercantile Agents) Certificate III qualification</w:t>
      </w:r>
      <w:r>
        <w:rPr>
          <w:rFonts w:ascii="Arial" w:hAnsi="Arial" w:cs="Arial"/>
          <w:szCs w:val="22"/>
        </w:rPr>
        <w:t xml:space="preserve"> of the national training framework</w:t>
      </w:r>
      <w:r w:rsidRPr="007C21B8">
        <w:rPr>
          <w:rFonts w:ascii="Arial" w:hAnsi="Arial" w:cs="Arial"/>
          <w:szCs w:val="22"/>
        </w:rPr>
        <w:t xml:space="preserve">. </w:t>
      </w:r>
      <w:r>
        <w:rPr>
          <w:rFonts w:ascii="Arial" w:hAnsi="Arial" w:cs="Arial"/>
          <w:szCs w:val="22"/>
        </w:rPr>
        <w:t xml:space="preserve"> </w:t>
      </w:r>
      <w:r w:rsidRPr="007C21B8">
        <w:rPr>
          <w:rFonts w:ascii="Arial" w:hAnsi="Arial" w:cs="Arial"/>
          <w:szCs w:val="22"/>
        </w:rPr>
        <w:t xml:space="preserve">ACDBA </w:t>
      </w:r>
      <w:r>
        <w:rPr>
          <w:rFonts w:ascii="Arial" w:hAnsi="Arial" w:cs="Arial"/>
          <w:szCs w:val="22"/>
        </w:rPr>
        <w:t>members mostly regard</w:t>
      </w:r>
      <w:r w:rsidRPr="007C21B8">
        <w:rPr>
          <w:rFonts w:ascii="Arial" w:hAnsi="Arial" w:cs="Arial"/>
          <w:szCs w:val="22"/>
        </w:rPr>
        <w:t xml:space="preserve"> this </w:t>
      </w:r>
      <w:r>
        <w:rPr>
          <w:rFonts w:ascii="Arial" w:hAnsi="Arial" w:cs="Arial"/>
          <w:szCs w:val="22"/>
        </w:rPr>
        <w:t xml:space="preserve">specific </w:t>
      </w:r>
      <w:r w:rsidRPr="007C21B8">
        <w:rPr>
          <w:rFonts w:ascii="Arial" w:hAnsi="Arial" w:cs="Arial"/>
          <w:szCs w:val="22"/>
        </w:rPr>
        <w:t xml:space="preserve">requirement </w:t>
      </w:r>
      <w:r>
        <w:rPr>
          <w:rFonts w:ascii="Arial" w:hAnsi="Arial" w:cs="Arial"/>
          <w:szCs w:val="22"/>
        </w:rPr>
        <w:t>to be</w:t>
      </w:r>
      <w:r w:rsidRPr="007C21B8">
        <w:rPr>
          <w:rFonts w:ascii="Arial" w:hAnsi="Arial" w:cs="Arial"/>
          <w:szCs w:val="22"/>
        </w:rPr>
        <w:t xml:space="preserve"> excessive, counter-productive and </w:t>
      </w:r>
      <w:r>
        <w:rPr>
          <w:rFonts w:ascii="Arial" w:hAnsi="Arial" w:cs="Arial"/>
          <w:szCs w:val="22"/>
        </w:rPr>
        <w:t>a significant impediment to</w:t>
      </w:r>
      <w:r w:rsidRPr="007C21B8">
        <w:rPr>
          <w:rFonts w:ascii="Arial" w:hAnsi="Arial" w:cs="Arial"/>
          <w:szCs w:val="22"/>
        </w:rPr>
        <w:t xml:space="preserve"> the ability</w:t>
      </w:r>
      <w:r>
        <w:rPr>
          <w:rFonts w:ascii="Arial" w:hAnsi="Arial" w:cs="Arial"/>
          <w:szCs w:val="22"/>
        </w:rPr>
        <w:t xml:space="preserve"> of the Collections sector</w:t>
      </w:r>
      <w:r w:rsidRPr="007C21B8">
        <w:rPr>
          <w:rFonts w:ascii="Arial" w:hAnsi="Arial" w:cs="Arial"/>
          <w:szCs w:val="22"/>
        </w:rPr>
        <w:t xml:space="preserve"> to employ staff in that state.</w:t>
      </w:r>
    </w:p>
    <w:p w:rsidR="00345E4D" w:rsidRPr="007C21B8" w:rsidRDefault="00345E4D" w:rsidP="00796771">
      <w:pPr>
        <w:autoSpaceDE w:val="0"/>
        <w:autoSpaceDN w:val="0"/>
        <w:adjustRightInd w:val="0"/>
        <w:spacing w:line="288" w:lineRule="auto"/>
        <w:rPr>
          <w:rFonts w:ascii="Arial" w:hAnsi="Arial" w:cs="Arial"/>
          <w:szCs w:val="22"/>
        </w:rPr>
      </w:pPr>
    </w:p>
    <w:p w:rsidR="00345E4D" w:rsidRDefault="00345E4D" w:rsidP="00796771">
      <w:pPr>
        <w:autoSpaceDE w:val="0"/>
        <w:autoSpaceDN w:val="0"/>
        <w:adjustRightInd w:val="0"/>
        <w:spacing w:line="288" w:lineRule="auto"/>
        <w:rPr>
          <w:rFonts w:ascii="Arial" w:hAnsi="Arial" w:cs="Arial"/>
          <w:szCs w:val="22"/>
        </w:rPr>
      </w:pPr>
      <w:r>
        <w:rPr>
          <w:rFonts w:ascii="Arial" w:hAnsi="Arial" w:cs="Arial"/>
          <w:szCs w:val="22"/>
        </w:rPr>
        <w:t>ACDBA’s</w:t>
      </w:r>
      <w:r w:rsidRPr="007C21B8">
        <w:rPr>
          <w:rFonts w:ascii="Arial" w:hAnsi="Arial" w:cs="Arial"/>
          <w:szCs w:val="22"/>
        </w:rPr>
        <w:t xml:space="preserve"> perspective</w:t>
      </w:r>
      <w:r>
        <w:rPr>
          <w:rFonts w:ascii="Arial" w:hAnsi="Arial" w:cs="Arial"/>
          <w:szCs w:val="22"/>
        </w:rPr>
        <w:t xml:space="preserve"> is </w:t>
      </w:r>
      <w:r w:rsidRPr="007C21B8">
        <w:rPr>
          <w:rFonts w:ascii="Arial" w:hAnsi="Arial" w:cs="Arial"/>
          <w:szCs w:val="22"/>
        </w:rPr>
        <w:t xml:space="preserve">it is appropriate </w:t>
      </w:r>
      <w:r>
        <w:rPr>
          <w:rFonts w:ascii="Arial" w:hAnsi="Arial" w:cs="Arial"/>
          <w:szCs w:val="22"/>
        </w:rPr>
        <w:t xml:space="preserve">any </w:t>
      </w:r>
      <w:r w:rsidRPr="007C21B8">
        <w:rPr>
          <w:rFonts w:ascii="Arial" w:hAnsi="Arial" w:cs="Arial"/>
          <w:szCs w:val="22"/>
        </w:rPr>
        <w:t>training regulations</w:t>
      </w:r>
      <w:r>
        <w:rPr>
          <w:rFonts w:ascii="Arial" w:hAnsi="Arial" w:cs="Arial"/>
          <w:szCs w:val="22"/>
        </w:rPr>
        <w:t xml:space="preserve"> for the Collections sector should always </w:t>
      </w:r>
      <w:r w:rsidRPr="007C21B8">
        <w:rPr>
          <w:rFonts w:ascii="Arial" w:hAnsi="Arial" w:cs="Arial"/>
          <w:szCs w:val="22"/>
        </w:rPr>
        <w:t xml:space="preserve">be relevant and cost effective and further that any prescribed training </w:t>
      </w:r>
      <w:r>
        <w:rPr>
          <w:rFonts w:ascii="Arial" w:hAnsi="Arial" w:cs="Arial"/>
          <w:szCs w:val="22"/>
        </w:rPr>
        <w:t xml:space="preserve">ought to </w:t>
      </w:r>
      <w:r w:rsidRPr="007C21B8">
        <w:rPr>
          <w:rFonts w:ascii="Arial" w:hAnsi="Arial" w:cs="Arial"/>
          <w:szCs w:val="22"/>
        </w:rPr>
        <w:t xml:space="preserve">be accessible, especially given the issue of staff turnover.  </w:t>
      </w:r>
      <w:r>
        <w:rPr>
          <w:rFonts w:ascii="Arial" w:hAnsi="Arial" w:cs="Arial"/>
          <w:szCs w:val="22"/>
        </w:rPr>
        <w:t xml:space="preserve">As an example, </w:t>
      </w:r>
      <w:r w:rsidRPr="007C21B8">
        <w:rPr>
          <w:rFonts w:ascii="Arial" w:hAnsi="Arial" w:cs="Arial"/>
          <w:szCs w:val="22"/>
        </w:rPr>
        <w:t xml:space="preserve">ACDBA members indicate new staff turnover in NSW can range from a minimum of 35% to in excess of 60% of any intake.  </w:t>
      </w:r>
    </w:p>
    <w:p w:rsidR="00345E4D" w:rsidRDefault="00345E4D" w:rsidP="00F00073">
      <w:pPr>
        <w:spacing w:line="288" w:lineRule="auto"/>
        <w:rPr>
          <w:rFonts w:ascii="Arial" w:hAnsi="Arial" w:cs="Arial"/>
        </w:rPr>
      </w:pPr>
    </w:p>
    <w:p w:rsidR="00345E4D" w:rsidRDefault="00345E4D" w:rsidP="00F00073">
      <w:pPr>
        <w:spacing w:line="288" w:lineRule="auto"/>
        <w:rPr>
          <w:rFonts w:ascii="Arial" w:hAnsi="Arial" w:cs="Arial"/>
        </w:rPr>
      </w:pPr>
      <w:r w:rsidRPr="00F00073">
        <w:rPr>
          <w:rFonts w:ascii="Arial" w:hAnsi="Arial" w:cs="Arial"/>
        </w:rPr>
        <w:t xml:space="preserve">Accordingly, it is appropriate </w:t>
      </w:r>
      <w:r>
        <w:rPr>
          <w:rFonts w:ascii="Arial" w:hAnsi="Arial" w:cs="Arial"/>
        </w:rPr>
        <w:t>our members</w:t>
      </w:r>
      <w:r w:rsidRPr="00F00073">
        <w:rPr>
          <w:rFonts w:ascii="Arial" w:hAnsi="Arial" w:cs="Arial"/>
        </w:rPr>
        <w:t xml:space="preserve"> determine what is appropriate</w:t>
      </w:r>
      <w:r>
        <w:rPr>
          <w:rFonts w:ascii="Arial" w:hAnsi="Arial" w:cs="Arial"/>
        </w:rPr>
        <w:t xml:space="preserve"> for</w:t>
      </w:r>
      <w:r w:rsidRPr="00F00073">
        <w:rPr>
          <w:rFonts w:ascii="Arial" w:hAnsi="Arial" w:cs="Arial"/>
        </w:rPr>
        <w:t xml:space="preserve"> initial and ongoing training of employees to ensure organisational competence</w:t>
      </w:r>
      <w:r>
        <w:rPr>
          <w:rFonts w:ascii="Arial" w:hAnsi="Arial" w:cs="Arial"/>
        </w:rPr>
        <w:t>.  This is consistent with the approach ASIC has taken for the majority of licensees under the NCCP regime.  ASIC views them as being in the best position to determine training requirements.</w:t>
      </w:r>
    </w:p>
    <w:p w:rsidR="00345E4D" w:rsidRDefault="00345E4D" w:rsidP="00F00073">
      <w:pPr>
        <w:spacing w:line="288" w:lineRule="auto"/>
        <w:rPr>
          <w:rFonts w:ascii="Arial" w:hAnsi="Arial" w:cs="Arial"/>
        </w:rPr>
      </w:pPr>
    </w:p>
    <w:p w:rsidR="00345E4D" w:rsidRPr="00BD03E4" w:rsidRDefault="00345E4D" w:rsidP="00F00073">
      <w:pPr>
        <w:spacing w:line="288" w:lineRule="auto"/>
        <w:rPr>
          <w:rFonts w:ascii="Arial" w:hAnsi="Arial" w:cs="Arial"/>
        </w:rPr>
      </w:pPr>
      <w:r w:rsidRPr="00BD03E4">
        <w:rPr>
          <w:rFonts w:ascii="Arial" w:hAnsi="Arial" w:cs="Arial"/>
        </w:rPr>
        <w:t>In addition, our Association is well placed to support the industry in the continued development of an agreed industry standard for induction and refresher courses.</w:t>
      </w:r>
    </w:p>
    <w:p w:rsidR="00345E4D" w:rsidRPr="00BD03E4" w:rsidRDefault="00345E4D" w:rsidP="00F00073">
      <w:pPr>
        <w:spacing w:line="288" w:lineRule="auto"/>
        <w:rPr>
          <w:rFonts w:ascii="Arial" w:hAnsi="Arial" w:cs="Arial"/>
        </w:rPr>
      </w:pPr>
    </w:p>
    <w:p w:rsidR="00345E4D" w:rsidRPr="00F00073" w:rsidRDefault="00345E4D" w:rsidP="00F00073">
      <w:pPr>
        <w:spacing w:line="288" w:lineRule="auto"/>
        <w:rPr>
          <w:rFonts w:ascii="Arial" w:hAnsi="Arial" w:cs="Arial"/>
        </w:rPr>
      </w:pPr>
      <w:r w:rsidRPr="00BD03E4">
        <w:rPr>
          <w:rFonts w:ascii="Arial" w:hAnsi="Arial" w:cs="Arial"/>
        </w:rPr>
        <w:t>We support the industry itself establishing appropriate training standards, rather than those standards being mandated by law, the same approach ASIC has taken under the NCCP regime.</w:t>
      </w:r>
    </w:p>
    <w:p w:rsidR="00345E4D" w:rsidRDefault="00345E4D" w:rsidP="0092270D">
      <w:pPr>
        <w:pStyle w:val="Heading3"/>
      </w:pPr>
    </w:p>
    <w:p w:rsidR="00345E4D" w:rsidRPr="00F00073" w:rsidRDefault="00345E4D" w:rsidP="0092270D">
      <w:pPr>
        <w:pStyle w:val="Heading3"/>
      </w:pPr>
      <w:bookmarkStart w:id="20" w:name="_Toc310510832"/>
      <w:r w:rsidRPr="00F00073">
        <w:t>Code of Conduct</w:t>
      </w:r>
      <w:bookmarkEnd w:id="20"/>
    </w:p>
    <w:p w:rsidR="00345E4D" w:rsidRDefault="00345E4D" w:rsidP="00F00073">
      <w:pPr>
        <w:spacing w:line="288" w:lineRule="auto"/>
        <w:rPr>
          <w:rFonts w:ascii="Arial" w:hAnsi="Arial" w:cs="Arial"/>
        </w:rPr>
      </w:pPr>
      <w:r>
        <w:rPr>
          <w:rFonts w:ascii="Arial" w:hAnsi="Arial" w:cs="Arial"/>
        </w:rPr>
        <w:t>ACDBA supports a non-prescribed Code of Conduct</w:t>
      </w:r>
      <w:r w:rsidRPr="00F00073">
        <w:rPr>
          <w:rFonts w:ascii="Arial" w:hAnsi="Arial" w:cs="Arial"/>
        </w:rPr>
        <w:t xml:space="preserve"> </w:t>
      </w:r>
      <w:r>
        <w:rPr>
          <w:rFonts w:ascii="Arial" w:hAnsi="Arial" w:cs="Arial"/>
        </w:rPr>
        <w:t>but has reservations about a mandatory Code under a national licensing regime.  The reservation is based on how such a Code can be kept current given the number of stakeholders who would want to be involved in the process and how, in effect, compliance can be monitored.</w:t>
      </w:r>
    </w:p>
    <w:p w:rsidR="00345E4D" w:rsidRDefault="00345E4D" w:rsidP="00F00073">
      <w:pPr>
        <w:spacing w:line="288" w:lineRule="auto"/>
        <w:rPr>
          <w:rFonts w:ascii="Arial" w:hAnsi="Arial" w:cs="Arial"/>
        </w:rPr>
      </w:pPr>
    </w:p>
    <w:p w:rsidR="00345E4D" w:rsidRDefault="00345E4D" w:rsidP="00A746C6">
      <w:pPr>
        <w:spacing w:line="288" w:lineRule="auto"/>
        <w:rPr>
          <w:rFonts w:ascii="Arial" w:hAnsi="Arial" w:cs="Arial"/>
        </w:rPr>
      </w:pPr>
      <w:r>
        <w:rPr>
          <w:rFonts w:ascii="Arial" w:hAnsi="Arial" w:cs="Arial"/>
        </w:rPr>
        <w:t xml:space="preserve">We point to the ASIC/ACCC Debt Collections Guideline as an indicator of voluntary industry compliance with established conduct standards.  While the Guideline has no legislative basis, the industry has adopted the conduct benchmarks as they provide a level of compliance certainty.  Such compliance is further enhanced by the adoption of the Guideline as minimum conduct expectations in the Service Level Agreements entered into between the Collections sector and its clients. </w:t>
      </w:r>
    </w:p>
    <w:p w:rsidR="00345E4D" w:rsidRDefault="00345E4D" w:rsidP="00F00073">
      <w:pPr>
        <w:spacing w:line="288" w:lineRule="auto"/>
        <w:rPr>
          <w:rFonts w:ascii="Arial" w:hAnsi="Arial" w:cs="Arial"/>
        </w:rPr>
      </w:pPr>
    </w:p>
    <w:p w:rsidR="00345E4D" w:rsidRDefault="00345E4D" w:rsidP="00A746C6">
      <w:pPr>
        <w:spacing w:line="288" w:lineRule="auto"/>
        <w:rPr>
          <w:rFonts w:ascii="Arial" w:hAnsi="Arial" w:cs="Arial"/>
        </w:rPr>
      </w:pPr>
      <w:r w:rsidRPr="00BD03E4">
        <w:rPr>
          <w:rFonts w:ascii="Arial" w:hAnsi="Arial" w:cs="Arial"/>
        </w:rPr>
        <w:t>A non-prescribed industry code of conduct for the Collections sector might be as simple as adopting the ACCC/ASIC Debt Collection Guideline with Associations requiring their members to comply with it. As previously noted, the Guideline is already widely adopted and accepted by the Collections sector as the foundation of its conduct obligations.</w:t>
      </w:r>
    </w:p>
    <w:p w:rsidR="00345E4D" w:rsidRDefault="00345E4D" w:rsidP="00A746C6">
      <w:pPr>
        <w:spacing w:line="288" w:lineRule="auto"/>
        <w:rPr>
          <w:rFonts w:ascii="Arial" w:hAnsi="Arial" w:cs="Arial"/>
        </w:rPr>
      </w:pPr>
    </w:p>
    <w:p w:rsidR="00345E4D" w:rsidRDefault="00345E4D" w:rsidP="00A746C6">
      <w:pPr>
        <w:spacing w:line="288" w:lineRule="auto"/>
        <w:rPr>
          <w:rFonts w:ascii="Arial" w:hAnsi="Arial" w:cs="Arial"/>
        </w:rPr>
      </w:pPr>
      <w:r>
        <w:rPr>
          <w:rFonts w:ascii="Arial" w:hAnsi="Arial" w:cs="Arial"/>
        </w:rPr>
        <w:t>We believe it is appropriate for the industry itself to establish a Code of Conduct, rather than Code being prescribed by law.</w:t>
      </w:r>
    </w:p>
    <w:p w:rsidR="00345E4D" w:rsidRDefault="00345E4D" w:rsidP="00870452">
      <w:pPr>
        <w:jc w:val="left"/>
      </w:pPr>
    </w:p>
    <w:p w:rsidR="00345E4D" w:rsidRPr="00870452" w:rsidRDefault="00345E4D">
      <w:pPr>
        <w:jc w:val="left"/>
      </w:pPr>
      <w:r>
        <w:br w:type="page"/>
      </w:r>
    </w:p>
    <w:p w:rsidR="00345E4D" w:rsidRDefault="00345E4D" w:rsidP="002828E9">
      <w:pPr>
        <w:pStyle w:val="Heading1"/>
      </w:pPr>
      <w:bookmarkStart w:id="21" w:name="_Toc310510833"/>
      <w:r>
        <w:t>Administration options</w:t>
      </w:r>
      <w:bookmarkEnd w:id="21"/>
      <w:r>
        <w:t xml:space="preserve"> </w:t>
      </w:r>
    </w:p>
    <w:p w:rsidR="00345E4D" w:rsidRPr="009A4159" w:rsidRDefault="00345E4D" w:rsidP="00A77654">
      <w:pPr>
        <w:pStyle w:val="Heading2"/>
      </w:pPr>
      <w:bookmarkStart w:id="22" w:name="_Toc310510834"/>
      <w:r w:rsidRPr="009A4159">
        <w:t>Option 2: Transfer administration to a dedicated debt collection regulator</w:t>
      </w:r>
      <w:r>
        <w:t xml:space="preserve"> – should a national licensing regime be established</w:t>
      </w:r>
      <w:bookmarkEnd w:id="22"/>
    </w:p>
    <w:p w:rsidR="00345E4D" w:rsidRDefault="00345E4D" w:rsidP="00A3095D">
      <w:pPr>
        <w:spacing w:line="288" w:lineRule="auto"/>
        <w:rPr>
          <w:rFonts w:ascii="Arial" w:hAnsi="Arial" w:cs="Arial"/>
        </w:rPr>
      </w:pPr>
      <w:r>
        <w:rPr>
          <w:rFonts w:ascii="Arial" w:hAnsi="Arial" w:cs="Arial"/>
        </w:rPr>
        <w:t>As will be clear from this submission, ACDBA supports a negative licensing regime.  However, should a national licensing regime result, we would support the establishment of a dedicated debt collection regulator.</w:t>
      </w:r>
    </w:p>
    <w:p w:rsidR="00345E4D" w:rsidRDefault="00345E4D" w:rsidP="00A3095D">
      <w:pPr>
        <w:spacing w:line="288" w:lineRule="auto"/>
        <w:rPr>
          <w:rFonts w:ascii="Arial" w:hAnsi="Arial" w:cs="Arial"/>
        </w:rPr>
      </w:pPr>
    </w:p>
    <w:p w:rsidR="00345E4D" w:rsidRDefault="00345E4D" w:rsidP="00A3095D">
      <w:pPr>
        <w:spacing w:line="288" w:lineRule="auto"/>
        <w:rPr>
          <w:rFonts w:ascii="Arial" w:hAnsi="Arial" w:cs="Arial"/>
        </w:rPr>
      </w:pPr>
      <w:r>
        <w:rPr>
          <w:rFonts w:ascii="Arial" w:hAnsi="Arial" w:cs="Arial"/>
        </w:rPr>
        <w:t>This approach will remove the ASIC/ACCC regulator dichotomy and look to achieve consistency and certainty across the licensing regime and the regulatory environment that impacts on both consumer protection and market conduct.</w:t>
      </w:r>
    </w:p>
    <w:p w:rsidR="00345E4D" w:rsidRDefault="00345E4D" w:rsidP="00A3095D">
      <w:pPr>
        <w:spacing w:line="288" w:lineRule="auto"/>
        <w:rPr>
          <w:rFonts w:ascii="Arial" w:hAnsi="Arial" w:cs="Arial"/>
        </w:rPr>
      </w:pPr>
    </w:p>
    <w:p w:rsidR="00345E4D" w:rsidRDefault="00345E4D" w:rsidP="00A3095D">
      <w:pPr>
        <w:spacing w:line="288" w:lineRule="auto"/>
        <w:rPr>
          <w:rFonts w:ascii="Arial" w:hAnsi="Arial" w:cs="Arial"/>
        </w:rPr>
      </w:pPr>
      <w:r>
        <w:rPr>
          <w:rFonts w:ascii="Arial" w:hAnsi="Arial" w:cs="Arial"/>
        </w:rPr>
        <w:t xml:space="preserve">The clarity of a single responsible regulator to handle enquiries in relation to interstate matters for both consumers and businesses is attractive as is the establishment of appropriately trained specialist staff to handle and understand the compliance processes for the sector.  </w:t>
      </w:r>
    </w:p>
    <w:p w:rsidR="00345E4D" w:rsidRDefault="00345E4D" w:rsidP="00A3095D">
      <w:pPr>
        <w:spacing w:line="288" w:lineRule="auto"/>
        <w:rPr>
          <w:rFonts w:ascii="Arial" w:hAnsi="Arial" w:cs="Arial"/>
        </w:rPr>
      </w:pPr>
    </w:p>
    <w:p w:rsidR="00345E4D" w:rsidRDefault="00345E4D" w:rsidP="00A3095D">
      <w:pPr>
        <w:spacing w:line="288" w:lineRule="auto"/>
        <w:rPr>
          <w:rFonts w:ascii="Arial" w:hAnsi="Arial" w:cs="Arial"/>
        </w:rPr>
      </w:pPr>
      <w:r>
        <w:rPr>
          <w:rFonts w:ascii="Arial" w:hAnsi="Arial" w:cs="Arial"/>
        </w:rPr>
        <w:t>These advantages are seen by ACDBA members as strongly outweighing the minor disadvantages noted in the Options Paper.</w:t>
      </w:r>
    </w:p>
    <w:p w:rsidR="00345E4D" w:rsidRDefault="00345E4D" w:rsidP="006306E0"/>
    <w:p w:rsidR="00345E4D" w:rsidRDefault="00345E4D" w:rsidP="006306E0"/>
    <w:p w:rsidR="00345E4D" w:rsidRDefault="00345E4D" w:rsidP="006306E0"/>
    <w:p w:rsidR="00345E4D" w:rsidRDefault="00345E4D" w:rsidP="006306E0"/>
    <w:p w:rsidR="00345E4D" w:rsidRPr="006306E0" w:rsidRDefault="00345E4D" w:rsidP="006306E0"/>
    <w:p w:rsidR="00345E4D" w:rsidRDefault="00345E4D">
      <w:pPr>
        <w:jc w:val="left"/>
        <w:rPr>
          <w:rFonts w:ascii="Arial" w:eastAsia="Gulim" w:hAnsi="Arial"/>
          <w:color w:val="17365D"/>
          <w:spacing w:val="5"/>
          <w:kern w:val="28"/>
          <w:sz w:val="44"/>
          <w:szCs w:val="44"/>
        </w:rPr>
      </w:pPr>
      <w:r>
        <w:br w:type="page"/>
      </w:r>
    </w:p>
    <w:p w:rsidR="00345E4D" w:rsidRDefault="00345E4D" w:rsidP="002828E9">
      <w:pPr>
        <w:pStyle w:val="Heading1"/>
      </w:pPr>
      <w:bookmarkStart w:id="23" w:name="_Toc310510835"/>
      <w:r>
        <w:t>Future consultation</w:t>
      </w:r>
      <w:bookmarkEnd w:id="23"/>
    </w:p>
    <w:p w:rsidR="00345E4D" w:rsidRDefault="00345E4D" w:rsidP="004D0A1D">
      <w:pPr>
        <w:spacing w:line="288" w:lineRule="auto"/>
        <w:rPr>
          <w:rFonts w:ascii="Arial" w:hAnsi="Arial" w:cs="Arial"/>
          <w:szCs w:val="22"/>
        </w:rPr>
      </w:pPr>
      <w:r w:rsidRPr="004D0A1D">
        <w:rPr>
          <w:rFonts w:ascii="Arial" w:hAnsi="Arial" w:cs="Arial"/>
          <w:szCs w:val="22"/>
        </w:rPr>
        <w:t xml:space="preserve">The ACDBA welcomes the opportunity to discuss with industry stakeholders </w:t>
      </w:r>
      <w:r>
        <w:rPr>
          <w:rFonts w:ascii="Arial" w:hAnsi="Arial" w:cs="Arial"/>
          <w:szCs w:val="22"/>
        </w:rPr>
        <w:t>initiatives for national harmonisation of the debt collection industry.</w:t>
      </w:r>
    </w:p>
    <w:p w:rsidR="00345E4D" w:rsidRDefault="00345E4D" w:rsidP="004D0A1D">
      <w:pPr>
        <w:spacing w:line="288" w:lineRule="auto"/>
        <w:rPr>
          <w:rFonts w:ascii="Arial" w:hAnsi="Arial" w:cs="Arial"/>
          <w:szCs w:val="22"/>
        </w:rPr>
      </w:pPr>
    </w:p>
    <w:p w:rsidR="00345E4D" w:rsidRDefault="00345E4D" w:rsidP="004D0A1D">
      <w:pPr>
        <w:spacing w:line="288" w:lineRule="auto"/>
        <w:rPr>
          <w:rFonts w:ascii="Arial" w:hAnsi="Arial" w:cs="Arial"/>
          <w:szCs w:val="22"/>
        </w:rPr>
      </w:pPr>
      <w:r>
        <w:rPr>
          <w:rFonts w:ascii="Arial" w:hAnsi="Arial" w:cs="Arial"/>
          <w:szCs w:val="22"/>
        </w:rPr>
        <w:t>P</w:t>
      </w:r>
      <w:r w:rsidRPr="004D0A1D">
        <w:rPr>
          <w:rFonts w:ascii="Arial" w:hAnsi="Arial" w:cs="Arial"/>
          <w:szCs w:val="22"/>
        </w:rPr>
        <w:t>lease contact:</w:t>
      </w:r>
    </w:p>
    <w:p w:rsidR="00345E4D" w:rsidRPr="004D0A1D" w:rsidRDefault="00345E4D" w:rsidP="004D0A1D">
      <w:pPr>
        <w:spacing w:line="288" w:lineRule="auto"/>
        <w:rPr>
          <w:rFonts w:ascii="Arial" w:hAnsi="Arial" w:cs="Arial"/>
          <w:szCs w:val="22"/>
        </w:rPr>
      </w:pPr>
    </w:p>
    <w:p w:rsidR="00345E4D" w:rsidRPr="004D0A1D" w:rsidRDefault="00345E4D" w:rsidP="004D0A1D">
      <w:pPr>
        <w:spacing w:line="288" w:lineRule="auto"/>
        <w:ind w:left="720"/>
        <w:rPr>
          <w:rFonts w:ascii="Arial" w:hAnsi="Arial" w:cs="Arial"/>
          <w:szCs w:val="22"/>
        </w:rPr>
      </w:pPr>
      <w:r w:rsidRPr="004D0A1D">
        <w:rPr>
          <w:rFonts w:ascii="Arial" w:hAnsi="Arial" w:cs="Arial"/>
          <w:szCs w:val="22"/>
        </w:rPr>
        <w:t>Mr Alan Harries</w:t>
      </w:r>
    </w:p>
    <w:p w:rsidR="00345E4D" w:rsidRPr="004D0A1D" w:rsidRDefault="00345E4D" w:rsidP="004D0A1D">
      <w:pPr>
        <w:spacing w:line="288" w:lineRule="auto"/>
        <w:ind w:left="720"/>
        <w:rPr>
          <w:rFonts w:ascii="Arial" w:hAnsi="Arial" w:cs="Arial"/>
          <w:szCs w:val="22"/>
        </w:rPr>
      </w:pPr>
      <w:r w:rsidRPr="004D0A1D">
        <w:rPr>
          <w:rFonts w:ascii="Arial" w:hAnsi="Arial" w:cs="Arial"/>
          <w:szCs w:val="22"/>
        </w:rPr>
        <w:t>CEO</w:t>
      </w:r>
    </w:p>
    <w:p w:rsidR="00345E4D" w:rsidRPr="004D0A1D" w:rsidRDefault="00345E4D" w:rsidP="004D0A1D">
      <w:pPr>
        <w:spacing w:line="288" w:lineRule="auto"/>
        <w:ind w:left="720"/>
        <w:rPr>
          <w:rFonts w:ascii="Arial" w:hAnsi="Arial" w:cs="Arial"/>
          <w:szCs w:val="22"/>
        </w:rPr>
      </w:pPr>
      <w:r w:rsidRPr="004D0A1D">
        <w:rPr>
          <w:rFonts w:ascii="Arial" w:hAnsi="Arial" w:cs="Arial"/>
          <w:szCs w:val="22"/>
        </w:rPr>
        <w:t>Australian Collectors &amp; Debt Buyers Association</w:t>
      </w:r>
    </w:p>
    <w:p w:rsidR="00345E4D" w:rsidRPr="004D0A1D" w:rsidRDefault="00345E4D" w:rsidP="004D0A1D">
      <w:pPr>
        <w:spacing w:line="288" w:lineRule="auto"/>
        <w:ind w:left="720"/>
        <w:rPr>
          <w:rFonts w:ascii="Arial" w:hAnsi="Arial" w:cs="Arial"/>
          <w:szCs w:val="22"/>
        </w:rPr>
      </w:pPr>
      <w:r w:rsidRPr="004D0A1D">
        <w:rPr>
          <w:rFonts w:ascii="Arial" w:hAnsi="Arial" w:cs="Arial"/>
          <w:szCs w:val="22"/>
        </w:rPr>
        <w:t>PO Box 295, WARATAH NSW 2298</w:t>
      </w:r>
    </w:p>
    <w:p w:rsidR="00345E4D" w:rsidRPr="004D0A1D" w:rsidRDefault="00345E4D" w:rsidP="004D0A1D">
      <w:pPr>
        <w:tabs>
          <w:tab w:val="left" w:pos="1701"/>
        </w:tabs>
        <w:spacing w:line="288" w:lineRule="auto"/>
        <w:ind w:left="720"/>
        <w:rPr>
          <w:rFonts w:ascii="Arial" w:hAnsi="Arial" w:cs="Arial"/>
          <w:szCs w:val="22"/>
        </w:rPr>
      </w:pPr>
      <w:r w:rsidRPr="004D0A1D">
        <w:rPr>
          <w:rFonts w:ascii="Arial" w:hAnsi="Arial" w:cs="Arial"/>
          <w:szCs w:val="22"/>
        </w:rPr>
        <w:t>Phone:</w:t>
      </w:r>
      <w:r w:rsidRPr="004D0A1D">
        <w:rPr>
          <w:rFonts w:ascii="Arial" w:hAnsi="Arial" w:cs="Arial"/>
          <w:szCs w:val="22"/>
        </w:rPr>
        <w:tab/>
        <w:t xml:space="preserve">(02) 4925 2099 </w:t>
      </w:r>
    </w:p>
    <w:p w:rsidR="00345E4D" w:rsidRPr="004D0A1D" w:rsidRDefault="00345E4D" w:rsidP="004D0A1D">
      <w:pPr>
        <w:tabs>
          <w:tab w:val="left" w:pos="1701"/>
        </w:tabs>
        <w:spacing w:line="288" w:lineRule="auto"/>
        <w:ind w:left="720"/>
        <w:rPr>
          <w:rFonts w:ascii="Arial" w:hAnsi="Arial" w:cs="Arial"/>
          <w:szCs w:val="22"/>
        </w:rPr>
      </w:pPr>
      <w:r w:rsidRPr="004D0A1D">
        <w:rPr>
          <w:rFonts w:ascii="Arial" w:hAnsi="Arial" w:cs="Arial"/>
          <w:szCs w:val="22"/>
        </w:rPr>
        <w:t>Email:</w:t>
      </w:r>
      <w:r w:rsidRPr="004D0A1D">
        <w:rPr>
          <w:rFonts w:ascii="Arial" w:hAnsi="Arial" w:cs="Arial"/>
          <w:szCs w:val="22"/>
        </w:rPr>
        <w:tab/>
      </w:r>
      <w:hyperlink r:id="rId9" w:history="1">
        <w:r w:rsidRPr="004D0A1D">
          <w:rPr>
            <w:rStyle w:val="Hyperlink"/>
            <w:rFonts w:ascii="Arial" w:hAnsi="Arial" w:cs="Arial"/>
            <w:szCs w:val="22"/>
          </w:rPr>
          <w:t>akh@acdba.com</w:t>
        </w:r>
      </w:hyperlink>
    </w:p>
    <w:p w:rsidR="00345E4D" w:rsidRDefault="00345E4D" w:rsidP="004D0A1D"/>
    <w:p w:rsidR="00345E4D" w:rsidRDefault="00345E4D">
      <w:pPr>
        <w:jc w:val="left"/>
      </w:pPr>
      <w:r>
        <w:br w:type="page"/>
      </w:r>
    </w:p>
    <w:p w:rsidR="00345E4D" w:rsidRDefault="00345E4D" w:rsidP="00153706">
      <w:pPr>
        <w:pStyle w:val="Heading1"/>
        <w:rPr>
          <w:rFonts w:cs="Arial"/>
          <w:bCs/>
          <w:kern w:val="32"/>
          <w:szCs w:val="22"/>
        </w:rPr>
      </w:pPr>
      <w:bookmarkStart w:id="24" w:name="_Toc310510836"/>
      <w:r w:rsidRPr="00796771">
        <w:t xml:space="preserve">Annexure </w:t>
      </w:r>
      <w:r>
        <w:t>A</w:t>
      </w:r>
      <w:r w:rsidRPr="00153706">
        <w:t xml:space="preserve"> </w:t>
      </w:r>
      <w:r>
        <w:tab/>
        <w:t xml:space="preserve">Collections </w:t>
      </w:r>
      <w:r w:rsidRPr="00F239BD">
        <w:t xml:space="preserve">Sector </w:t>
      </w:r>
      <w:r>
        <w:t>Demographics</w:t>
      </w:r>
      <w:bookmarkEnd w:id="24"/>
    </w:p>
    <w:p w:rsidR="00345E4D" w:rsidRPr="00F239BD" w:rsidRDefault="00345E4D" w:rsidP="00F7446F">
      <w:pPr>
        <w:jc w:val="left"/>
        <w:rPr>
          <w:rFonts w:cs="Arial"/>
          <w:b/>
          <w:bCs/>
          <w:kern w:val="32"/>
          <w:sz w:val="32"/>
          <w:szCs w:val="32"/>
        </w:rPr>
      </w:pPr>
      <w:r>
        <w:rPr>
          <w:rFonts w:ascii="Arial" w:hAnsi="Arial" w:cs="Arial"/>
          <w:bCs/>
          <w:kern w:val="32"/>
          <w:szCs w:val="22"/>
        </w:rPr>
        <w:t>Surveys completed by ACDBA members</w:t>
      </w:r>
      <w:r>
        <w:rPr>
          <w:rStyle w:val="FootnoteReference"/>
          <w:rFonts w:ascii="Arial" w:hAnsi="Arial" w:cs="Arial"/>
          <w:bCs/>
          <w:kern w:val="32"/>
          <w:szCs w:val="22"/>
        </w:rPr>
        <w:footnoteReference w:id="5"/>
      </w:r>
      <w:r>
        <w:rPr>
          <w:rFonts w:ascii="Arial" w:hAnsi="Arial" w:cs="Arial"/>
          <w:bCs/>
          <w:kern w:val="32"/>
          <w:szCs w:val="22"/>
        </w:rPr>
        <w:t xml:space="preserve"> allow an understanding of the current the Collections sector in Australia.</w:t>
      </w:r>
    </w:p>
    <w:p w:rsidR="00345E4D" w:rsidRDefault="00345E4D" w:rsidP="00F7446F">
      <w:pPr>
        <w:spacing w:line="312" w:lineRule="auto"/>
        <w:rPr>
          <w:rFonts w:ascii="Arial" w:hAnsi="Arial" w:cs="Arial"/>
          <w:bCs/>
          <w:kern w:val="32"/>
          <w:szCs w:val="22"/>
        </w:rPr>
      </w:pPr>
    </w:p>
    <w:p w:rsidR="00345E4D" w:rsidRPr="00C84544" w:rsidRDefault="00345E4D" w:rsidP="00F7446F">
      <w:pPr>
        <w:spacing w:line="312" w:lineRule="auto"/>
        <w:rPr>
          <w:rFonts w:ascii="Arial" w:hAnsi="Arial" w:cs="Arial"/>
          <w:bCs/>
          <w:kern w:val="32"/>
          <w:szCs w:val="22"/>
        </w:rPr>
      </w:pPr>
      <w:r>
        <w:rPr>
          <w:rFonts w:ascii="Arial" w:hAnsi="Arial" w:cs="Arial"/>
          <w:bCs/>
          <w:kern w:val="32"/>
          <w:szCs w:val="22"/>
        </w:rPr>
        <w:t>There are currently 15 members</w:t>
      </w:r>
      <w:r>
        <w:rPr>
          <w:rStyle w:val="FootnoteReference"/>
          <w:rFonts w:ascii="Arial" w:hAnsi="Arial" w:cs="Arial"/>
          <w:bCs/>
          <w:kern w:val="32"/>
          <w:szCs w:val="22"/>
        </w:rPr>
        <w:footnoteReference w:id="6"/>
      </w:r>
      <w:r>
        <w:rPr>
          <w:rFonts w:ascii="Arial" w:hAnsi="Arial" w:cs="Arial"/>
          <w:bCs/>
          <w:kern w:val="32"/>
          <w:szCs w:val="22"/>
        </w:rPr>
        <w:t xml:space="preserve"> of ACDBA – estimated to represent about 70% of the Australian Collections sector market.</w:t>
      </w:r>
    </w:p>
    <w:p w:rsidR="00345E4D" w:rsidRDefault="00345E4D" w:rsidP="00F7446F">
      <w:pPr>
        <w:spacing w:line="312" w:lineRule="auto"/>
        <w:rPr>
          <w:rFonts w:ascii="Arial" w:hAnsi="Arial" w:cs="Arial"/>
          <w:bCs/>
          <w:kern w:val="32"/>
          <w:szCs w:val="22"/>
        </w:rPr>
      </w:pPr>
    </w:p>
    <w:p w:rsidR="00345E4D" w:rsidRPr="00C019D7" w:rsidRDefault="00345E4D" w:rsidP="00153706">
      <w:pPr>
        <w:pStyle w:val="Heading3"/>
        <w:rPr>
          <w:kern w:val="32"/>
        </w:rPr>
      </w:pPr>
      <w:bookmarkStart w:id="25" w:name="_Toc310510837"/>
      <w:r w:rsidRPr="00C019D7">
        <w:rPr>
          <w:kern w:val="32"/>
        </w:rPr>
        <w:t xml:space="preserve">Debt </w:t>
      </w:r>
      <w:r>
        <w:rPr>
          <w:kern w:val="32"/>
        </w:rPr>
        <w:t>V</w:t>
      </w:r>
      <w:r w:rsidRPr="00C019D7">
        <w:rPr>
          <w:kern w:val="32"/>
        </w:rPr>
        <w:t xml:space="preserve">alues and </w:t>
      </w:r>
      <w:r>
        <w:rPr>
          <w:kern w:val="32"/>
        </w:rPr>
        <w:t>V</w:t>
      </w:r>
      <w:r w:rsidRPr="00C019D7">
        <w:rPr>
          <w:kern w:val="32"/>
        </w:rPr>
        <w:t>olumes</w:t>
      </w:r>
      <w:bookmarkEnd w:id="25"/>
    </w:p>
    <w:p w:rsidR="00345E4D" w:rsidRDefault="00345E4D" w:rsidP="00F7446F">
      <w:pPr>
        <w:spacing w:line="312" w:lineRule="auto"/>
        <w:rPr>
          <w:rFonts w:ascii="Arial" w:hAnsi="Arial" w:cs="Arial"/>
          <w:bCs/>
          <w:kern w:val="32"/>
          <w:szCs w:val="22"/>
        </w:rPr>
      </w:pPr>
      <w:r w:rsidRPr="00C84544">
        <w:rPr>
          <w:rFonts w:ascii="Arial" w:hAnsi="Arial" w:cs="Arial"/>
          <w:bCs/>
          <w:kern w:val="32"/>
          <w:szCs w:val="22"/>
        </w:rPr>
        <w:t>ACDBA members collect for a range of clients involving government, commercial, utilit</w:t>
      </w:r>
      <w:r>
        <w:rPr>
          <w:rFonts w:ascii="Arial" w:hAnsi="Arial" w:cs="Arial"/>
          <w:bCs/>
          <w:kern w:val="32"/>
          <w:szCs w:val="22"/>
        </w:rPr>
        <w:t>y</w:t>
      </w:r>
      <w:r w:rsidRPr="00C84544">
        <w:rPr>
          <w:rFonts w:ascii="Arial" w:hAnsi="Arial" w:cs="Arial"/>
          <w:bCs/>
          <w:kern w:val="32"/>
          <w:szCs w:val="22"/>
        </w:rPr>
        <w:t xml:space="preserve"> and consumer debts.   </w:t>
      </w:r>
      <w:r>
        <w:rPr>
          <w:rFonts w:ascii="Arial" w:hAnsi="Arial" w:cs="Arial"/>
          <w:bCs/>
          <w:kern w:val="32"/>
          <w:szCs w:val="22"/>
        </w:rPr>
        <w:t>Over the past 3 years, collection activities by ACDBA members by type were:</w:t>
      </w:r>
    </w:p>
    <w:p w:rsidR="00345E4D" w:rsidRDefault="00345E4D" w:rsidP="00F7446F">
      <w:pPr>
        <w:spacing w:line="312" w:lineRule="auto"/>
        <w:rPr>
          <w:rFonts w:ascii="Arial" w:hAnsi="Arial" w:cs="Arial"/>
          <w:bCs/>
          <w:kern w:val="3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1134"/>
        <w:gridCol w:w="1417"/>
        <w:gridCol w:w="1134"/>
        <w:gridCol w:w="1418"/>
        <w:gridCol w:w="1134"/>
        <w:gridCol w:w="1417"/>
      </w:tblGrid>
      <w:tr w:rsidR="00345E4D" w:rsidRPr="008D04F6" w:rsidTr="00DF0CFF">
        <w:tc>
          <w:tcPr>
            <w:tcW w:w="2127" w:type="dxa"/>
            <w:tcBorders>
              <w:top w:val="nil"/>
              <w:left w:val="nil"/>
            </w:tcBorders>
          </w:tcPr>
          <w:p w:rsidR="00345E4D" w:rsidRPr="00DF0CFF" w:rsidRDefault="00345E4D" w:rsidP="00DF0CFF">
            <w:pPr>
              <w:spacing w:line="312" w:lineRule="auto"/>
              <w:rPr>
                <w:rFonts w:ascii="Arial" w:hAnsi="Arial" w:cs="Arial"/>
                <w:b/>
                <w:bCs/>
                <w:kern w:val="32"/>
                <w:szCs w:val="22"/>
              </w:rPr>
            </w:pPr>
          </w:p>
        </w:tc>
        <w:tc>
          <w:tcPr>
            <w:tcW w:w="2551" w:type="dxa"/>
            <w:gridSpan w:val="2"/>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At 30 June 2009</w:t>
            </w:r>
          </w:p>
        </w:tc>
        <w:tc>
          <w:tcPr>
            <w:tcW w:w="2552" w:type="dxa"/>
            <w:gridSpan w:val="2"/>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At 30 June 2010</w:t>
            </w:r>
          </w:p>
        </w:tc>
        <w:tc>
          <w:tcPr>
            <w:tcW w:w="2551" w:type="dxa"/>
            <w:gridSpan w:val="2"/>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At 30 June 2011</w:t>
            </w:r>
          </w:p>
        </w:tc>
      </w:tr>
      <w:tr w:rsidR="00345E4D" w:rsidRPr="008D04F6" w:rsidTr="00DF0CFF">
        <w:tc>
          <w:tcPr>
            <w:tcW w:w="2127" w:type="dxa"/>
          </w:tcPr>
          <w:p w:rsidR="00345E4D" w:rsidRPr="00DF0CFF" w:rsidRDefault="00345E4D" w:rsidP="00DF0CFF">
            <w:pPr>
              <w:spacing w:line="312" w:lineRule="auto"/>
              <w:rPr>
                <w:rFonts w:ascii="Arial" w:hAnsi="Arial" w:cs="Arial"/>
                <w:b/>
                <w:bCs/>
                <w:kern w:val="32"/>
                <w:szCs w:val="22"/>
              </w:rPr>
            </w:pPr>
            <w:r w:rsidRPr="00DF0CFF">
              <w:rPr>
                <w:rFonts w:ascii="Arial" w:hAnsi="Arial" w:cs="Arial"/>
                <w:b/>
                <w:bCs/>
                <w:kern w:val="32"/>
                <w:szCs w:val="22"/>
              </w:rPr>
              <w:t>Type of collection</w:t>
            </w:r>
          </w:p>
        </w:tc>
        <w:tc>
          <w:tcPr>
            <w:tcW w:w="1134" w:type="dxa"/>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w:t>
            </w:r>
          </w:p>
        </w:tc>
        <w:tc>
          <w:tcPr>
            <w:tcW w:w="1417" w:type="dxa"/>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No of Files</w:t>
            </w:r>
          </w:p>
        </w:tc>
        <w:tc>
          <w:tcPr>
            <w:tcW w:w="1134" w:type="dxa"/>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w:t>
            </w:r>
          </w:p>
        </w:tc>
        <w:tc>
          <w:tcPr>
            <w:tcW w:w="1418" w:type="dxa"/>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No of Files</w:t>
            </w:r>
          </w:p>
        </w:tc>
        <w:tc>
          <w:tcPr>
            <w:tcW w:w="1134" w:type="dxa"/>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w:t>
            </w:r>
          </w:p>
        </w:tc>
        <w:tc>
          <w:tcPr>
            <w:tcW w:w="1417" w:type="dxa"/>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No of Files</w:t>
            </w:r>
          </w:p>
        </w:tc>
      </w:tr>
      <w:tr w:rsidR="00345E4D" w:rsidRPr="008D04F6" w:rsidTr="00DF0CFF">
        <w:tc>
          <w:tcPr>
            <w:tcW w:w="2127" w:type="dxa"/>
            <w:shd w:val="clear" w:color="auto" w:fill="C6D9F1"/>
          </w:tcPr>
          <w:p w:rsidR="00345E4D" w:rsidRPr="00DF0CFF" w:rsidRDefault="00345E4D" w:rsidP="00DF0CFF">
            <w:pPr>
              <w:spacing w:line="312" w:lineRule="auto"/>
              <w:rPr>
                <w:rFonts w:ascii="Arial" w:hAnsi="Arial" w:cs="Arial"/>
                <w:bCs/>
                <w:kern w:val="32"/>
                <w:szCs w:val="22"/>
              </w:rPr>
            </w:pPr>
            <w:r w:rsidRPr="00DF0CFF">
              <w:rPr>
                <w:rFonts w:ascii="Arial" w:hAnsi="Arial" w:cs="Arial"/>
                <w:bCs/>
                <w:kern w:val="32"/>
                <w:szCs w:val="22"/>
              </w:rPr>
              <w:t xml:space="preserve">Contingent </w:t>
            </w:r>
          </w:p>
        </w:tc>
        <w:tc>
          <w:tcPr>
            <w:tcW w:w="1134" w:type="dxa"/>
            <w:shd w:val="clear" w:color="auto" w:fill="C6D9F1"/>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30.5%</w:t>
            </w:r>
          </w:p>
        </w:tc>
        <w:tc>
          <w:tcPr>
            <w:tcW w:w="1417" w:type="dxa"/>
            <w:shd w:val="clear" w:color="auto" w:fill="C6D9F1"/>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50.5%</w:t>
            </w:r>
          </w:p>
        </w:tc>
        <w:tc>
          <w:tcPr>
            <w:tcW w:w="1134" w:type="dxa"/>
            <w:shd w:val="clear" w:color="auto" w:fill="C6D9F1"/>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42.5%</w:t>
            </w:r>
          </w:p>
        </w:tc>
        <w:tc>
          <w:tcPr>
            <w:tcW w:w="1418" w:type="dxa"/>
            <w:shd w:val="clear" w:color="auto" w:fill="C6D9F1"/>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60.1%</w:t>
            </w:r>
          </w:p>
        </w:tc>
        <w:tc>
          <w:tcPr>
            <w:tcW w:w="1134" w:type="dxa"/>
            <w:shd w:val="clear" w:color="auto" w:fill="C6D9F1"/>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34.7%</w:t>
            </w:r>
          </w:p>
        </w:tc>
        <w:tc>
          <w:tcPr>
            <w:tcW w:w="1417" w:type="dxa"/>
            <w:shd w:val="clear" w:color="auto" w:fill="C6D9F1"/>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58.5%</w:t>
            </w:r>
          </w:p>
        </w:tc>
      </w:tr>
      <w:tr w:rsidR="00345E4D" w:rsidRPr="008D04F6" w:rsidTr="00DF0CFF">
        <w:tc>
          <w:tcPr>
            <w:tcW w:w="2127" w:type="dxa"/>
            <w:shd w:val="clear" w:color="auto" w:fill="E5DFEC"/>
          </w:tcPr>
          <w:p w:rsidR="00345E4D" w:rsidRPr="00DF0CFF" w:rsidRDefault="00345E4D" w:rsidP="00DF0CFF">
            <w:pPr>
              <w:spacing w:line="312" w:lineRule="auto"/>
              <w:jc w:val="left"/>
              <w:rPr>
                <w:rFonts w:ascii="Arial" w:hAnsi="Arial" w:cs="Arial"/>
                <w:b/>
                <w:bCs/>
                <w:kern w:val="32"/>
                <w:sz w:val="32"/>
                <w:szCs w:val="32"/>
              </w:rPr>
            </w:pPr>
            <w:r w:rsidRPr="00DF0CFF">
              <w:rPr>
                <w:rFonts w:ascii="Arial" w:hAnsi="Arial" w:cs="Arial"/>
                <w:bCs/>
                <w:kern w:val="32"/>
                <w:szCs w:val="22"/>
              </w:rPr>
              <w:t xml:space="preserve">Debt purchase </w:t>
            </w:r>
          </w:p>
        </w:tc>
        <w:tc>
          <w:tcPr>
            <w:tcW w:w="1134" w:type="dxa"/>
            <w:shd w:val="clear" w:color="auto" w:fill="E5DFEC"/>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69.5%</w:t>
            </w:r>
          </w:p>
        </w:tc>
        <w:tc>
          <w:tcPr>
            <w:tcW w:w="1417" w:type="dxa"/>
            <w:shd w:val="clear" w:color="auto" w:fill="E5DFEC"/>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49,5%</w:t>
            </w:r>
          </w:p>
        </w:tc>
        <w:tc>
          <w:tcPr>
            <w:tcW w:w="1134" w:type="dxa"/>
            <w:shd w:val="clear" w:color="auto" w:fill="E5DFEC"/>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57.4%</w:t>
            </w:r>
          </w:p>
        </w:tc>
        <w:tc>
          <w:tcPr>
            <w:tcW w:w="1418" w:type="dxa"/>
            <w:shd w:val="clear" w:color="auto" w:fill="E5DFEC"/>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39.9%</w:t>
            </w:r>
          </w:p>
        </w:tc>
        <w:tc>
          <w:tcPr>
            <w:tcW w:w="1134" w:type="dxa"/>
            <w:shd w:val="clear" w:color="auto" w:fill="E5DFEC"/>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65.3%</w:t>
            </w:r>
          </w:p>
        </w:tc>
        <w:tc>
          <w:tcPr>
            <w:tcW w:w="1417" w:type="dxa"/>
            <w:shd w:val="clear" w:color="auto" w:fill="E5DFEC"/>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41.5%</w:t>
            </w:r>
          </w:p>
        </w:tc>
      </w:tr>
      <w:tr w:rsidR="00345E4D" w:rsidRPr="008D04F6" w:rsidTr="00DF0CFF">
        <w:tc>
          <w:tcPr>
            <w:tcW w:w="2127" w:type="dxa"/>
            <w:tcBorders>
              <w:left w:val="nil"/>
              <w:bottom w:val="nil"/>
            </w:tcBorders>
          </w:tcPr>
          <w:p w:rsidR="00345E4D" w:rsidRPr="00DF0CFF" w:rsidRDefault="00345E4D" w:rsidP="00DF0CFF">
            <w:pPr>
              <w:spacing w:line="312" w:lineRule="auto"/>
              <w:jc w:val="left"/>
              <w:rPr>
                <w:rFonts w:ascii="Arial" w:hAnsi="Arial" w:cs="Arial"/>
                <w:bCs/>
                <w:kern w:val="32"/>
                <w:szCs w:val="22"/>
              </w:rPr>
            </w:pPr>
          </w:p>
        </w:tc>
        <w:tc>
          <w:tcPr>
            <w:tcW w:w="1134" w:type="dxa"/>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100.0%</w:t>
            </w:r>
          </w:p>
        </w:tc>
        <w:tc>
          <w:tcPr>
            <w:tcW w:w="1417" w:type="dxa"/>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100.0%</w:t>
            </w:r>
          </w:p>
        </w:tc>
        <w:tc>
          <w:tcPr>
            <w:tcW w:w="1134" w:type="dxa"/>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100.0%</w:t>
            </w:r>
          </w:p>
        </w:tc>
        <w:tc>
          <w:tcPr>
            <w:tcW w:w="1418" w:type="dxa"/>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100.0%</w:t>
            </w:r>
          </w:p>
        </w:tc>
        <w:tc>
          <w:tcPr>
            <w:tcW w:w="1134" w:type="dxa"/>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100.0%</w:t>
            </w:r>
          </w:p>
        </w:tc>
        <w:tc>
          <w:tcPr>
            <w:tcW w:w="1417" w:type="dxa"/>
          </w:tcPr>
          <w:p w:rsidR="00345E4D" w:rsidRPr="00DF0CFF" w:rsidRDefault="00345E4D" w:rsidP="00DF0CFF">
            <w:pPr>
              <w:spacing w:line="312" w:lineRule="auto"/>
              <w:jc w:val="center"/>
              <w:rPr>
                <w:rFonts w:ascii="Arial" w:hAnsi="Arial" w:cs="Arial"/>
                <w:bCs/>
                <w:kern w:val="32"/>
                <w:szCs w:val="22"/>
              </w:rPr>
            </w:pPr>
            <w:r w:rsidRPr="00DF0CFF">
              <w:rPr>
                <w:rFonts w:ascii="Arial" w:hAnsi="Arial" w:cs="Arial"/>
                <w:bCs/>
                <w:kern w:val="32"/>
                <w:szCs w:val="22"/>
              </w:rPr>
              <w:t>100.0%</w:t>
            </w:r>
          </w:p>
        </w:tc>
      </w:tr>
    </w:tbl>
    <w:p w:rsidR="00345E4D" w:rsidRDefault="00345E4D" w:rsidP="00F7446F">
      <w:pPr>
        <w:spacing w:after="120"/>
        <w:rPr>
          <w:rFonts w:ascii="Arial" w:hAnsi="Arial" w:cs="Arial"/>
          <w:bCs/>
          <w:color w:val="000000"/>
          <w:sz w:val="24"/>
        </w:rPr>
      </w:pPr>
    </w:p>
    <w:p w:rsidR="00345E4D" w:rsidRPr="005928AD" w:rsidRDefault="00345E4D" w:rsidP="00F7446F">
      <w:pPr>
        <w:spacing w:after="120"/>
        <w:rPr>
          <w:rFonts w:ascii="Arial" w:hAnsi="Arial" w:cs="Arial"/>
          <w:sz w:val="24"/>
        </w:rPr>
      </w:pPr>
      <w:r>
        <w:rPr>
          <w:rFonts w:ascii="Arial" w:hAnsi="Arial" w:cs="Arial"/>
          <w:bCs/>
          <w:color w:val="000000"/>
          <w:sz w:val="24"/>
        </w:rPr>
        <w:t>D</w:t>
      </w:r>
      <w:r w:rsidRPr="005928AD">
        <w:rPr>
          <w:rFonts w:ascii="Arial" w:hAnsi="Arial" w:cs="Arial"/>
          <w:bCs/>
          <w:color w:val="000000"/>
          <w:sz w:val="24"/>
        </w:rPr>
        <w:t xml:space="preserve">ebts under collection by ACDBA members </w:t>
      </w:r>
      <w:r>
        <w:rPr>
          <w:rFonts w:ascii="Arial" w:hAnsi="Arial" w:cs="Arial"/>
          <w:bCs/>
          <w:color w:val="000000"/>
          <w:sz w:val="24"/>
        </w:rPr>
        <w:t xml:space="preserve">broken down </w:t>
      </w:r>
      <w:r w:rsidRPr="005928AD">
        <w:rPr>
          <w:rFonts w:ascii="Arial" w:hAnsi="Arial" w:cs="Arial"/>
          <w:bCs/>
          <w:color w:val="000000"/>
          <w:sz w:val="24"/>
        </w:rPr>
        <w:t>by type of debt</w:t>
      </w:r>
      <w:r>
        <w:rPr>
          <w:rFonts w:ascii="Arial" w:hAnsi="Arial" w:cs="Arial"/>
          <w:bCs/>
          <w:color w:val="000000"/>
          <w:sz w:val="24"/>
        </w:rPr>
        <w:t xml:space="preserve"> were</w:t>
      </w:r>
      <w:r w:rsidRPr="005928AD">
        <w:rPr>
          <w:rFonts w:ascii="Arial" w:hAnsi="Arial" w:cs="Arial"/>
          <w:bCs/>
          <w:color w:val="000000"/>
          <w:sz w:val="24"/>
        </w:rPr>
        <w:t>:</w:t>
      </w:r>
    </w:p>
    <w:p w:rsidR="00345E4D" w:rsidRPr="0037199C" w:rsidRDefault="00345E4D" w:rsidP="00F7446F"/>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692"/>
        <w:gridCol w:w="1192"/>
        <w:gridCol w:w="1742"/>
        <w:gridCol w:w="1192"/>
        <w:gridCol w:w="1836"/>
        <w:gridCol w:w="1134"/>
      </w:tblGrid>
      <w:tr w:rsidR="00345E4D" w:rsidRPr="00FE1B60" w:rsidTr="00DF0CFF">
        <w:tc>
          <w:tcPr>
            <w:tcW w:w="1560" w:type="dxa"/>
            <w:tcBorders>
              <w:top w:val="nil"/>
              <w:left w:val="nil"/>
            </w:tcBorders>
          </w:tcPr>
          <w:p w:rsidR="00345E4D" w:rsidRPr="00DF0CFF" w:rsidRDefault="00345E4D" w:rsidP="00A34375">
            <w:pPr>
              <w:rPr>
                <w:rFonts w:ascii="Arial" w:hAnsi="Arial" w:cs="Arial"/>
              </w:rPr>
            </w:pPr>
          </w:p>
        </w:tc>
        <w:tc>
          <w:tcPr>
            <w:tcW w:w="2884" w:type="dxa"/>
            <w:gridSpan w:val="2"/>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At 30 June 2009</w:t>
            </w:r>
          </w:p>
        </w:tc>
        <w:tc>
          <w:tcPr>
            <w:tcW w:w="2934" w:type="dxa"/>
            <w:gridSpan w:val="2"/>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At 30 June 2010</w:t>
            </w:r>
          </w:p>
        </w:tc>
        <w:tc>
          <w:tcPr>
            <w:tcW w:w="2970" w:type="dxa"/>
            <w:gridSpan w:val="2"/>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At 30 June 2011</w:t>
            </w:r>
          </w:p>
        </w:tc>
      </w:tr>
      <w:tr w:rsidR="00345E4D" w:rsidRPr="00FE1B60" w:rsidTr="00DF0CFF">
        <w:trPr>
          <w:trHeight w:val="531"/>
        </w:trPr>
        <w:tc>
          <w:tcPr>
            <w:tcW w:w="1560" w:type="dxa"/>
          </w:tcPr>
          <w:p w:rsidR="00345E4D" w:rsidRPr="00DF0CFF" w:rsidRDefault="00345E4D" w:rsidP="00DF0CFF">
            <w:pPr>
              <w:jc w:val="left"/>
              <w:rPr>
                <w:rFonts w:ascii="Arial" w:hAnsi="Arial" w:cs="Arial"/>
                <w:b/>
              </w:rPr>
            </w:pPr>
            <w:r w:rsidRPr="00DF0CFF">
              <w:rPr>
                <w:rFonts w:ascii="Arial" w:hAnsi="Arial" w:cs="Arial"/>
                <w:b/>
              </w:rPr>
              <w:t>Type of Debt</w:t>
            </w:r>
          </w:p>
        </w:tc>
        <w:tc>
          <w:tcPr>
            <w:tcW w:w="1692" w:type="dxa"/>
            <w:shd w:val="clear" w:color="auto" w:fill="EAF1DD"/>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w:t>
            </w:r>
          </w:p>
        </w:tc>
        <w:tc>
          <w:tcPr>
            <w:tcW w:w="1192" w:type="dxa"/>
            <w:shd w:val="clear" w:color="auto" w:fill="EEECE1"/>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No of Files</w:t>
            </w:r>
          </w:p>
        </w:tc>
        <w:tc>
          <w:tcPr>
            <w:tcW w:w="1742" w:type="dxa"/>
            <w:shd w:val="clear" w:color="auto" w:fill="EAF1DD"/>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w:t>
            </w:r>
          </w:p>
        </w:tc>
        <w:tc>
          <w:tcPr>
            <w:tcW w:w="1192" w:type="dxa"/>
            <w:shd w:val="clear" w:color="auto" w:fill="EEECE1"/>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No of Files</w:t>
            </w:r>
          </w:p>
        </w:tc>
        <w:tc>
          <w:tcPr>
            <w:tcW w:w="1836" w:type="dxa"/>
            <w:shd w:val="clear" w:color="auto" w:fill="EAF1DD"/>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w:t>
            </w:r>
          </w:p>
        </w:tc>
        <w:tc>
          <w:tcPr>
            <w:tcW w:w="1134" w:type="dxa"/>
            <w:shd w:val="clear" w:color="auto" w:fill="EEECE1"/>
          </w:tcPr>
          <w:p w:rsidR="00345E4D" w:rsidRPr="00DF0CFF" w:rsidRDefault="00345E4D" w:rsidP="00DF0CFF">
            <w:pPr>
              <w:spacing w:line="312" w:lineRule="auto"/>
              <w:jc w:val="center"/>
              <w:rPr>
                <w:rFonts w:ascii="Arial" w:hAnsi="Arial" w:cs="Arial"/>
                <w:b/>
                <w:bCs/>
                <w:kern w:val="32"/>
                <w:szCs w:val="22"/>
              </w:rPr>
            </w:pPr>
            <w:r w:rsidRPr="00DF0CFF">
              <w:rPr>
                <w:rFonts w:ascii="Arial" w:hAnsi="Arial" w:cs="Arial"/>
                <w:b/>
                <w:bCs/>
                <w:kern w:val="32"/>
                <w:szCs w:val="22"/>
              </w:rPr>
              <w:t>No of Files</w:t>
            </w:r>
          </w:p>
        </w:tc>
      </w:tr>
      <w:tr w:rsidR="00345E4D" w:rsidRPr="00FE1B60" w:rsidTr="00DF0CFF">
        <w:trPr>
          <w:trHeight w:val="53"/>
        </w:trPr>
        <w:tc>
          <w:tcPr>
            <w:tcW w:w="1560" w:type="dxa"/>
            <w:vAlign w:val="center"/>
          </w:tcPr>
          <w:p w:rsidR="00345E4D" w:rsidRPr="00DF0CFF" w:rsidRDefault="00345E4D" w:rsidP="00DF0CFF">
            <w:pPr>
              <w:jc w:val="left"/>
              <w:rPr>
                <w:rFonts w:ascii="Arial" w:hAnsi="Arial" w:cs="Arial"/>
              </w:rPr>
            </w:pPr>
            <w:r w:rsidRPr="00DF0CFF">
              <w:rPr>
                <w:rFonts w:ascii="Arial" w:hAnsi="Arial" w:cs="Arial"/>
              </w:rPr>
              <w:t>Consumer</w:t>
            </w:r>
          </w:p>
        </w:tc>
        <w:tc>
          <w:tcPr>
            <w:tcW w:w="169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$4,933,308,019</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1,216,583</w:t>
            </w:r>
          </w:p>
        </w:tc>
        <w:tc>
          <w:tcPr>
            <w:tcW w:w="174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$5,542,690,549</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1,281,454</w:t>
            </w:r>
          </w:p>
        </w:tc>
        <w:tc>
          <w:tcPr>
            <w:tcW w:w="1836" w:type="dxa"/>
            <w:shd w:val="clear" w:color="auto" w:fill="EAF1DD"/>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$5,469,950,659</w:t>
            </w:r>
          </w:p>
        </w:tc>
        <w:tc>
          <w:tcPr>
            <w:tcW w:w="1134" w:type="dxa"/>
            <w:shd w:val="clear" w:color="auto" w:fill="EEECE1"/>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773,638</w:t>
            </w:r>
          </w:p>
        </w:tc>
      </w:tr>
      <w:tr w:rsidR="00345E4D" w:rsidRPr="00FE1B60" w:rsidTr="00DF0CFF">
        <w:trPr>
          <w:trHeight w:val="340"/>
        </w:trPr>
        <w:tc>
          <w:tcPr>
            <w:tcW w:w="1560" w:type="dxa"/>
            <w:vAlign w:val="center"/>
          </w:tcPr>
          <w:p w:rsidR="00345E4D" w:rsidRPr="00DF0CFF" w:rsidRDefault="00345E4D" w:rsidP="00DF0CFF">
            <w:pPr>
              <w:jc w:val="left"/>
              <w:rPr>
                <w:rFonts w:ascii="Arial" w:hAnsi="Arial" w:cs="Arial"/>
              </w:rPr>
            </w:pPr>
            <w:r w:rsidRPr="00DF0CFF">
              <w:rPr>
                <w:rFonts w:ascii="Arial" w:hAnsi="Arial" w:cs="Arial"/>
              </w:rPr>
              <w:t>Utility</w:t>
            </w:r>
          </w:p>
        </w:tc>
        <w:tc>
          <w:tcPr>
            <w:tcW w:w="169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$301,040,919</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495,244</w:t>
            </w:r>
          </w:p>
        </w:tc>
        <w:tc>
          <w:tcPr>
            <w:tcW w:w="174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$247,220,977</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384,269</w:t>
            </w:r>
          </w:p>
        </w:tc>
        <w:tc>
          <w:tcPr>
            <w:tcW w:w="1836" w:type="dxa"/>
            <w:shd w:val="clear" w:color="auto" w:fill="EAF1DD"/>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$849,442,310</w:t>
            </w:r>
          </w:p>
        </w:tc>
        <w:tc>
          <w:tcPr>
            <w:tcW w:w="1134" w:type="dxa"/>
            <w:shd w:val="clear" w:color="auto" w:fill="EEECE1"/>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973,905</w:t>
            </w:r>
          </w:p>
        </w:tc>
      </w:tr>
      <w:tr w:rsidR="00345E4D" w:rsidRPr="00FE1B60" w:rsidTr="00DF0CFF">
        <w:trPr>
          <w:trHeight w:val="340"/>
        </w:trPr>
        <w:tc>
          <w:tcPr>
            <w:tcW w:w="1560" w:type="dxa"/>
            <w:vAlign w:val="center"/>
          </w:tcPr>
          <w:p w:rsidR="00345E4D" w:rsidRPr="00DF0CFF" w:rsidRDefault="00345E4D" w:rsidP="00DF0CFF">
            <w:pPr>
              <w:jc w:val="left"/>
              <w:rPr>
                <w:rFonts w:ascii="Arial" w:hAnsi="Arial" w:cs="Arial"/>
              </w:rPr>
            </w:pPr>
            <w:r w:rsidRPr="00DF0CFF">
              <w:rPr>
                <w:rFonts w:ascii="Arial" w:hAnsi="Arial" w:cs="Arial"/>
              </w:rPr>
              <w:t>Government</w:t>
            </w:r>
          </w:p>
        </w:tc>
        <w:tc>
          <w:tcPr>
            <w:tcW w:w="169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$572,769,981</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290,620</w:t>
            </w:r>
          </w:p>
        </w:tc>
        <w:tc>
          <w:tcPr>
            <w:tcW w:w="174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$2,266,431,510</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724,416</w:t>
            </w:r>
          </w:p>
        </w:tc>
        <w:tc>
          <w:tcPr>
            <w:tcW w:w="1836" w:type="dxa"/>
            <w:shd w:val="clear" w:color="auto" w:fill="EAF1DD"/>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$1,546,019,359</w:t>
            </w:r>
          </w:p>
        </w:tc>
        <w:tc>
          <w:tcPr>
            <w:tcW w:w="1134" w:type="dxa"/>
            <w:shd w:val="clear" w:color="auto" w:fill="EEECE1"/>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665,746</w:t>
            </w:r>
          </w:p>
        </w:tc>
      </w:tr>
      <w:tr w:rsidR="00345E4D" w:rsidRPr="00FE1B60" w:rsidTr="00DF0CFF">
        <w:trPr>
          <w:trHeight w:val="340"/>
        </w:trPr>
        <w:tc>
          <w:tcPr>
            <w:tcW w:w="1560" w:type="dxa"/>
            <w:vAlign w:val="center"/>
          </w:tcPr>
          <w:p w:rsidR="00345E4D" w:rsidRPr="00DF0CFF" w:rsidRDefault="00345E4D" w:rsidP="00DF0CFF">
            <w:pPr>
              <w:jc w:val="left"/>
              <w:rPr>
                <w:rFonts w:ascii="Arial" w:hAnsi="Arial" w:cs="Arial"/>
              </w:rPr>
            </w:pPr>
            <w:r w:rsidRPr="00DF0CFF">
              <w:rPr>
                <w:rFonts w:ascii="Arial" w:hAnsi="Arial" w:cs="Arial"/>
              </w:rPr>
              <w:t>Commercial</w:t>
            </w:r>
          </w:p>
        </w:tc>
        <w:tc>
          <w:tcPr>
            <w:tcW w:w="169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$244,433,315</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130,349</w:t>
            </w:r>
          </w:p>
        </w:tc>
        <w:tc>
          <w:tcPr>
            <w:tcW w:w="174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$275,393,485</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133,906</w:t>
            </w:r>
          </w:p>
        </w:tc>
        <w:tc>
          <w:tcPr>
            <w:tcW w:w="1836" w:type="dxa"/>
            <w:shd w:val="clear" w:color="auto" w:fill="EAF1DD"/>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$372,157,509</w:t>
            </w:r>
          </w:p>
        </w:tc>
        <w:tc>
          <w:tcPr>
            <w:tcW w:w="1134" w:type="dxa"/>
            <w:shd w:val="clear" w:color="auto" w:fill="EEECE1"/>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158,666</w:t>
            </w:r>
          </w:p>
        </w:tc>
      </w:tr>
      <w:tr w:rsidR="00345E4D" w:rsidRPr="00FE1B60" w:rsidTr="00DF0CFF">
        <w:trPr>
          <w:trHeight w:val="340"/>
        </w:trPr>
        <w:tc>
          <w:tcPr>
            <w:tcW w:w="1560" w:type="dxa"/>
            <w:vAlign w:val="center"/>
          </w:tcPr>
          <w:p w:rsidR="00345E4D" w:rsidRPr="00DF0CFF" w:rsidRDefault="00345E4D" w:rsidP="00DF0CFF">
            <w:pPr>
              <w:jc w:val="left"/>
              <w:rPr>
                <w:rFonts w:ascii="Arial" w:hAnsi="Arial" w:cs="Arial"/>
              </w:rPr>
            </w:pPr>
            <w:r w:rsidRPr="00DF0CFF">
              <w:rPr>
                <w:rFonts w:ascii="Arial" w:hAnsi="Arial" w:cs="Arial"/>
              </w:rPr>
              <w:t>Other</w:t>
            </w:r>
          </w:p>
        </w:tc>
        <w:tc>
          <w:tcPr>
            <w:tcW w:w="169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$732,386,903</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887,709</w:t>
            </w:r>
          </w:p>
        </w:tc>
        <w:tc>
          <w:tcPr>
            <w:tcW w:w="1742" w:type="dxa"/>
            <w:shd w:val="clear" w:color="auto" w:fill="EAF1DD"/>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$1,095,888,623</w:t>
            </w:r>
          </w:p>
        </w:tc>
        <w:tc>
          <w:tcPr>
            <w:tcW w:w="1192" w:type="dxa"/>
            <w:shd w:val="clear" w:color="auto" w:fill="EEECE1"/>
            <w:vAlign w:val="center"/>
          </w:tcPr>
          <w:p w:rsidR="00345E4D" w:rsidRPr="00DF0CFF" w:rsidRDefault="00345E4D" w:rsidP="00DF0CFF">
            <w:pPr>
              <w:jc w:val="right"/>
              <w:rPr>
                <w:rFonts w:ascii="Arial" w:hAnsi="Arial" w:cs="Arial"/>
                <w:color w:val="000000"/>
                <w:sz w:val="20"/>
                <w:szCs w:val="20"/>
              </w:rPr>
            </w:pPr>
            <w:r w:rsidRPr="00DF0CFF">
              <w:rPr>
                <w:rFonts w:ascii="Arial" w:hAnsi="Arial" w:cs="Arial"/>
                <w:color w:val="000000"/>
                <w:sz w:val="20"/>
                <w:szCs w:val="20"/>
              </w:rPr>
              <w:t>1,174,673</w:t>
            </w:r>
          </w:p>
        </w:tc>
        <w:tc>
          <w:tcPr>
            <w:tcW w:w="1836" w:type="dxa"/>
            <w:shd w:val="clear" w:color="auto" w:fill="EAF1DD"/>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$1,286,943,515</w:t>
            </w:r>
          </w:p>
        </w:tc>
        <w:tc>
          <w:tcPr>
            <w:tcW w:w="1134" w:type="dxa"/>
            <w:shd w:val="clear" w:color="auto" w:fill="EEECE1"/>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t>1,258,479</w:t>
            </w:r>
          </w:p>
        </w:tc>
      </w:tr>
      <w:tr w:rsidR="00345E4D" w:rsidRPr="00FE1B60" w:rsidTr="00DF0CFF">
        <w:trPr>
          <w:trHeight w:val="340"/>
        </w:trPr>
        <w:tc>
          <w:tcPr>
            <w:tcW w:w="1560" w:type="dxa"/>
            <w:vAlign w:val="center"/>
          </w:tcPr>
          <w:p w:rsidR="00345E4D" w:rsidRPr="00DF0CFF" w:rsidRDefault="00345E4D" w:rsidP="00DF0CFF">
            <w:pPr>
              <w:jc w:val="left"/>
              <w:rPr>
                <w:rFonts w:ascii="Arial" w:hAnsi="Arial" w:cs="Arial"/>
                <w:b/>
              </w:rPr>
            </w:pPr>
            <w:r w:rsidRPr="00DF0CFF">
              <w:rPr>
                <w:rFonts w:ascii="Arial" w:hAnsi="Arial" w:cs="Arial"/>
                <w:b/>
              </w:rPr>
              <w:t>Total</w:t>
            </w:r>
          </w:p>
        </w:tc>
        <w:tc>
          <w:tcPr>
            <w:tcW w:w="1692" w:type="dxa"/>
            <w:shd w:val="clear" w:color="auto" w:fill="EAF1DD"/>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fldChar w:fldCharType="begin"/>
            </w:r>
            <w:r w:rsidRPr="00DF0CFF">
              <w:rPr>
                <w:rFonts w:ascii="Arial" w:hAnsi="Arial" w:cs="Arial"/>
                <w:sz w:val="20"/>
                <w:szCs w:val="20"/>
              </w:rPr>
              <w:instrText xml:space="preserve"> =SUM(ABOVE) \# "$#,##0;($#,##0)" </w:instrText>
            </w:r>
            <w:r w:rsidRPr="00DF0CFF">
              <w:rPr>
                <w:rFonts w:ascii="Arial" w:hAnsi="Arial" w:cs="Arial"/>
                <w:sz w:val="20"/>
                <w:szCs w:val="20"/>
              </w:rPr>
              <w:fldChar w:fldCharType="separate"/>
            </w:r>
            <w:r w:rsidRPr="00DF0CFF">
              <w:rPr>
                <w:rFonts w:ascii="Arial" w:hAnsi="Arial" w:cs="Arial"/>
                <w:noProof/>
                <w:sz w:val="20"/>
                <w:szCs w:val="20"/>
              </w:rPr>
              <w:t>$6,783,939,137</w:t>
            </w:r>
            <w:r w:rsidRPr="00DF0CFF">
              <w:rPr>
                <w:rFonts w:ascii="Arial" w:hAnsi="Arial" w:cs="Arial"/>
                <w:sz w:val="20"/>
                <w:szCs w:val="20"/>
              </w:rPr>
              <w:fldChar w:fldCharType="end"/>
            </w:r>
          </w:p>
        </w:tc>
        <w:tc>
          <w:tcPr>
            <w:tcW w:w="1192" w:type="dxa"/>
            <w:shd w:val="clear" w:color="auto" w:fill="EEECE1"/>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fldChar w:fldCharType="begin"/>
            </w:r>
            <w:r w:rsidRPr="00DF0CFF">
              <w:rPr>
                <w:rFonts w:ascii="Arial" w:hAnsi="Arial" w:cs="Arial"/>
                <w:sz w:val="20"/>
                <w:szCs w:val="20"/>
              </w:rPr>
              <w:instrText xml:space="preserve"> =SUM(ABOVE) </w:instrText>
            </w:r>
            <w:r w:rsidRPr="00DF0CFF">
              <w:rPr>
                <w:rFonts w:ascii="Arial" w:hAnsi="Arial" w:cs="Arial"/>
                <w:sz w:val="20"/>
                <w:szCs w:val="20"/>
              </w:rPr>
              <w:fldChar w:fldCharType="separate"/>
            </w:r>
            <w:r w:rsidRPr="00DF0CFF">
              <w:rPr>
                <w:rFonts w:ascii="Arial" w:hAnsi="Arial" w:cs="Arial"/>
                <w:noProof/>
                <w:sz w:val="20"/>
                <w:szCs w:val="20"/>
              </w:rPr>
              <w:t>3,020,505</w:t>
            </w:r>
            <w:r w:rsidRPr="00DF0CFF">
              <w:rPr>
                <w:rFonts w:ascii="Arial" w:hAnsi="Arial" w:cs="Arial"/>
                <w:sz w:val="20"/>
                <w:szCs w:val="20"/>
              </w:rPr>
              <w:fldChar w:fldCharType="end"/>
            </w:r>
          </w:p>
        </w:tc>
        <w:tc>
          <w:tcPr>
            <w:tcW w:w="1742" w:type="dxa"/>
            <w:shd w:val="clear" w:color="auto" w:fill="EAF1DD"/>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fldChar w:fldCharType="begin"/>
            </w:r>
            <w:r w:rsidRPr="00DF0CFF">
              <w:rPr>
                <w:rFonts w:ascii="Arial" w:hAnsi="Arial" w:cs="Arial"/>
                <w:sz w:val="20"/>
                <w:szCs w:val="20"/>
              </w:rPr>
              <w:instrText xml:space="preserve"> =SUM(ABOVE) \# "$#,##0;($#,##0)" </w:instrText>
            </w:r>
            <w:r w:rsidRPr="00DF0CFF">
              <w:rPr>
                <w:rFonts w:ascii="Arial" w:hAnsi="Arial" w:cs="Arial"/>
                <w:sz w:val="20"/>
                <w:szCs w:val="20"/>
              </w:rPr>
              <w:fldChar w:fldCharType="separate"/>
            </w:r>
            <w:r w:rsidRPr="00DF0CFF">
              <w:rPr>
                <w:rFonts w:ascii="Arial" w:hAnsi="Arial" w:cs="Arial"/>
                <w:noProof/>
                <w:sz w:val="20"/>
                <w:szCs w:val="20"/>
              </w:rPr>
              <w:t>$9,427,625,144</w:t>
            </w:r>
            <w:r w:rsidRPr="00DF0CFF">
              <w:rPr>
                <w:rFonts w:ascii="Arial" w:hAnsi="Arial" w:cs="Arial"/>
                <w:sz w:val="20"/>
                <w:szCs w:val="20"/>
              </w:rPr>
              <w:fldChar w:fldCharType="end"/>
            </w:r>
          </w:p>
        </w:tc>
        <w:tc>
          <w:tcPr>
            <w:tcW w:w="1192" w:type="dxa"/>
            <w:shd w:val="clear" w:color="auto" w:fill="EEECE1"/>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fldChar w:fldCharType="begin"/>
            </w:r>
            <w:r w:rsidRPr="00DF0CFF">
              <w:rPr>
                <w:rFonts w:ascii="Arial" w:hAnsi="Arial" w:cs="Arial"/>
                <w:sz w:val="20"/>
                <w:szCs w:val="20"/>
              </w:rPr>
              <w:instrText xml:space="preserve"> =SUM(ABOVE) </w:instrText>
            </w:r>
            <w:r w:rsidRPr="00DF0CFF">
              <w:rPr>
                <w:rFonts w:ascii="Arial" w:hAnsi="Arial" w:cs="Arial"/>
                <w:sz w:val="20"/>
                <w:szCs w:val="20"/>
              </w:rPr>
              <w:fldChar w:fldCharType="separate"/>
            </w:r>
            <w:r w:rsidRPr="00DF0CFF">
              <w:rPr>
                <w:rFonts w:ascii="Arial" w:hAnsi="Arial" w:cs="Arial"/>
                <w:noProof/>
                <w:sz w:val="20"/>
                <w:szCs w:val="20"/>
              </w:rPr>
              <w:t>3,698,718</w:t>
            </w:r>
            <w:r w:rsidRPr="00DF0CFF">
              <w:rPr>
                <w:rFonts w:ascii="Arial" w:hAnsi="Arial" w:cs="Arial"/>
                <w:sz w:val="20"/>
                <w:szCs w:val="20"/>
              </w:rPr>
              <w:fldChar w:fldCharType="end"/>
            </w:r>
          </w:p>
        </w:tc>
        <w:tc>
          <w:tcPr>
            <w:tcW w:w="1836" w:type="dxa"/>
            <w:shd w:val="clear" w:color="auto" w:fill="EAF1DD"/>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fldChar w:fldCharType="begin"/>
            </w:r>
            <w:r w:rsidRPr="00DF0CFF">
              <w:rPr>
                <w:rFonts w:ascii="Arial" w:hAnsi="Arial" w:cs="Arial"/>
                <w:sz w:val="20"/>
                <w:szCs w:val="20"/>
              </w:rPr>
              <w:instrText xml:space="preserve"> =SUM(ABOVE) \# "$#,##0;($#,##0)" </w:instrText>
            </w:r>
            <w:r w:rsidRPr="00DF0CFF">
              <w:rPr>
                <w:rFonts w:ascii="Arial" w:hAnsi="Arial" w:cs="Arial"/>
                <w:sz w:val="20"/>
                <w:szCs w:val="20"/>
              </w:rPr>
              <w:fldChar w:fldCharType="separate"/>
            </w:r>
            <w:r w:rsidRPr="00DF0CFF">
              <w:rPr>
                <w:rFonts w:ascii="Arial" w:hAnsi="Arial" w:cs="Arial"/>
                <w:noProof/>
                <w:sz w:val="20"/>
                <w:szCs w:val="20"/>
              </w:rPr>
              <w:t>$9,524,513,352</w:t>
            </w:r>
            <w:r w:rsidRPr="00DF0CFF">
              <w:rPr>
                <w:rFonts w:ascii="Arial" w:hAnsi="Arial" w:cs="Arial"/>
                <w:sz w:val="20"/>
                <w:szCs w:val="20"/>
              </w:rPr>
              <w:fldChar w:fldCharType="end"/>
            </w:r>
          </w:p>
        </w:tc>
        <w:tc>
          <w:tcPr>
            <w:tcW w:w="1134" w:type="dxa"/>
            <w:shd w:val="clear" w:color="auto" w:fill="EEECE1"/>
            <w:vAlign w:val="center"/>
          </w:tcPr>
          <w:p w:rsidR="00345E4D" w:rsidRPr="00DF0CFF" w:rsidRDefault="00345E4D" w:rsidP="00DF0CFF">
            <w:pPr>
              <w:jc w:val="right"/>
              <w:rPr>
                <w:rFonts w:ascii="Arial" w:hAnsi="Arial" w:cs="Arial"/>
                <w:sz w:val="20"/>
                <w:szCs w:val="20"/>
              </w:rPr>
            </w:pPr>
            <w:r w:rsidRPr="00DF0CFF">
              <w:rPr>
                <w:rFonts w:ascii="Arial" w:hAnsi="Arial" w:cs="Arial"/>
                <w:sz w:val="20"/>
                <w:szCs w:val="20"/>
              </w:rPr>
              <w:fldChar w:fldCharType="begin"/>
            </w:r>
            <w:r w:rsidRPr="00DF0CFF">
              <w:rPr>
                <w:rFonts w:ascii="Arial" w:hAnsi="Arial" w:cs="Arial"/>
                <w:sz w:val="20"/>
                <w:szCs w:val="20"/>
              </w:rPr>
              <w:instrText xml:space="preserve"> =SUM(ABOVE) </w:instrText>
            </w:r>
            <w:r w:rsidRPr="00DF0CFF">
              <w:rPr>
                <w:rFonts w:ascii="Arial" w:hAnsi="Arial" w:cs="Arial"/>
                <w:sz w:val="20"/>
                <w:szCs w:val="20"/>
              </w:rPr>
              <w:fldChar w:fldCharType="separate"/>
            </w:r>
            <w:r w:rsidRPr="00DF0CFF">
              <w:rPr>
                <w:rFonts w:ascii="Arial" w:hAnsi="Arial" w:cs="Arial"/>
                <w:noProof/>
                <w:sz w:val="20"/>
                <w:szCs w:val="20"/>
              </w:rPr>
              <w:t>3,830,434</w:t>
            </w:r>
            <w:r w:rsidRPr="00DF0CFF">
              <w:rPr>
                <w:rFonts w:ascii="Arial" w:hAnsi="Arial" w:cs="Arial"/>
                <w:sz w:val="20"/>
                <w:szCs w:val="20"/>
              </w:rPr>
              <w:fldChar w:fldCharType="end"/>
            </w:r>
          </w:p>
        </w:tc>
      </w:tr>
    </w:tbl>
    <w:p w:rsidR="00345E4D" w:rsidRDefault="00345E4D" w:rsidP="00F7446F">
      <w:pPr>
        <w:rPr>
          <w:rFonts w:cs="Arial"/>
          <w:kern w:val="32"/>
          <w:sz w:val="32"/>
          <w:szCs w:val="32"/>
        </w:rPr>
      </w:pPr>
    </w:p>
    <w:p w:rsidR="00345E4D" w:rsidRDefault="00345E4D" w:rsidP="00F7446F">
      <w:pPr>
        <w:spacing w:line="288" w:lineRule="auto"/>
        <w:rPr>
          <w:rFonts w:ascii="Arial" w:hAnsi="Arial" w:cs="Arial"/>
          <w:szCs w:val="22"/>
        </w:rPr>
      </w:pPr>
      <w:r w:rsidRPr="000B2016">
        <w:rPr>
          <w:rFonts w:ascii="Arial" w:hAnsi="Arial" w:cs="Arial"/>
          <w:szCs w:val="22"/>
        </w:rPr>
        <w:t>As noted</w:t>
      </w:r>
      <w:r>
        <w:rPr>
          <w:rFonts w:ascii="Arial" w:hAnsi="Arial" w:cs="Arial"/>
          <w:szCs w:val="22"/>
        </w:rPr>
        <w:t>,</w:t>
      </w:r>
      <w:r w:rsidRPr="000B2016">
        <w:rPr>
          <w:rFonts w:ascii="Arial" w:hAnsi="Arial" w:cs="Arial"/>
          <w:szCs w:val="22"/>
        </w:rPr>
        <w:t xml:space="preserve"> ACDBA membership is estimated to represent approximately 70% of the Australian collection and debt buying industry</w:t>
      </w:r>
      <w:r>
        <w:rPr>
          <w:rFonts w:ascii="Arial" w:hAnsi="Arial" w:cs="Arial"/>
          <w:szCs w:val="22"/>
        </w:rPr>
        <w:t>.  E</w:t>
      </w:r>
      <w:r w:rsidRPr="000B2016">
        <w:rPr>
          <w:rFonts w:ascii="Arial" w:hAnsi="Arial" w:cs="Arial"/>
          <w:szCs w:val="22"/>
        </w:rPr>
        <w:t>xtrapolating this for the entire industry suggests</w:t>
      </w:r>
      <w:r>
        <w:rPr>
          <w:rFonts w:ascii="Arial" w:hAnsi="Arial" w:cs="Arial"/>
          <w:szCs w:val="22"/>
        </w:rPr>
        <w:t>,</w:t>
      </w:r>
      <w:r w:rsidRPr="000B2016">
        <w:rPr>
          <w:rFonts w:ascii="Arial" w:hAnsi="Arial" w:cs="Arial"/>
          <w:szCs w:val="22"/>
        </w:rPr>
        <w:t xml:space="preserve"> as at 30 June 2011</w:t>
      </w:r>
      <w:r>
        <w:rPr>
          <w:rFonts w:ascii="Arial" w:hAnsi="Arial" w:cs="Arial"/>
          <w:szCs w:val="22"/>
        </w:rPr>
        <w:t>,</w:t>
      </w:r>
      <w:r w:rsidRPr="000B2016">
        <w:rPr>
          <w:rFonts w:ascii="Arial" w:hAnsi="Arial" w:cs="Arial"/>
          <w:szCs w:val="22"/>
        </w:rPr>
        <w:t xml:space="preserve"> the Australian Collections sector was actioning in excess of $13.6</w:t>
      </w:r>
      <w:r>
        <w:rPr>
          <w:rFonts w:ascii="Arial" w:hAnsi="Arial" w:cs="Arial"/>
          <w:szCs w:val="22"/>
        </w:rPr>
        <w:t xml:space="preserve"> </w:t>
      </w:r>
      <w:r w:rsidRPr="000B2016">
        <w:rPr>
          <w:rFonts w:ascii="Arial" w:hAnsi="Arial" w:cs="Arial"/>
          <w:szCs w:val="22"/>
        </w:rPr>
        <w:t>billion in debt represented by 5.47 million files.</w:t>
      </w:r>
    </w:p>
    <w:p w:rsidR="00345E4D" w:rsidRPr="0022201D" w:rsidRDefault="00345E4D" w:rsidP="00F7446F">
      <w:pPr>
        <w:spacing w:line="288" w:lineRule="auto"/>
        <w:rPr>
          <w:rFonts w:ascii="Arial" w:hAnsi="Arial" w:cs="Arial"/>
          <w:szCs w:val="22"/>
        </w:rPr>
      </w:pPr>
    </w:p>
    <w:p w:rsidR="00345E4D" w:rsidRDefault="00345E4D" w:rsidP="00F7446F">
      <w:pPr>
        <w:spacing w:line="288" w:lineRule="auto"/>
        <w:rPr>
          <w:rFonts w:ascii="Arial" w:hAnsi="Arial" w:cs="Arial"/>
          <w:szCs w:val="22"/>
        </w:rPr>
      </w:pPr>
      <w:r>
        <w:rPr>
          <w:rFonts w:ascii="Arial" w:hAnsi="Arial" w:cs="Arial"/>
          <w:szCs w:val="22"/>
        </w:rPr>
        <w:t>ACDBA</w:t>
      </w:r>
      <w:r w:rsidRPr="0022201D">
        <w:rPr>
          <w:rFonts w:ascii="Arial" w:hAnsi="Arial" w:cs="Arial"/>
          <w:szCs w:val="22"/>
        </w:rPr>
        <w:t xml:space="preserve"> members purchase millions of charged off accounts per annum. Of these, up to 75% of the contact details are incorrect, resulting in significant time and expense in locating the debtors involved. </w:t>
      </w:r>
    </w:p>
    <w:p w:rsidR="00345E4D" w:rsidRDefault="00345E4D" w:rsidP="00F7446F">
      <w:pPr>
        <w:spacing w:line="288" w:lineRule="auto"/>
        <w:rPr>
          <w:rFonts w:ascii="Arial" w:hAnsi="Arial" w:cs="Arial"/>
          <w:szCs w:val="22"/>
        </w:rPr>
      </w:pPr>
    </w:p>
    <w:p w:rsidR="00345E4D" w:rsidRPr="0022201D" w:rsidRDefault="00345E4D" w:rsidP="00F7446F">
      <w:pPr>
        <w:spacing w:line="288" w:lineRule="auto"/>
        <w:rPr>
          <w:rFonts w:ascii="Arial" w:hAnsi="Arial" w:cs="Arial"/>
          <w:szCs w:val="22"/>
        </w:rPr>
      </w:pPr>
      <w:r w:rsidRPr="0022201D">
        <w:rPr>
          <w:rFonts w:ascii="Arial" w:hAnsi="Arial" w:cs="Arial"/>
          <w:szCs w:val="22"/>
        </w:rPr>
        <w:t>On average, 35% of debtors are never located. This results from debtors relocating but failing to update their contact details with their credit providers.</w:t>
      </w:r>
    </w:p>
    <w:p w:rsidR="00345E4D" w:rsidRDefault="00345E4D" w:rsidP="00F7446F">
      <w:pPr>
        <w:spacing w:line="288" w:lineRule="auto"/>
        <w:rPr>
          <w:rFonts w:ascii="Arial" w:hAnsi="Arial" w:cs="Arial"/>
          <w:szCs w:val="22"/>
          <w:u w:val="single"/>
        </w:rPr>
      </w:pPr>
    </w:p>
    <w:p w:rsidR="00345E4D" w:rsidRPr="0030598A" w:rsidRDefault="00345E4D" w:rsidP="00153706">
      <w:pPr>
        <w:pStyle w:val="Heading3"/>
      </w:pPr>
      <w:bookmarkStart w:id="26" w:name="_Toc310510838"/>
      <w:r w:rsidRPr="0030598A">
        <w:t>Workforce</w:t>
      </w:r>
      <w:bookmarkEnd w:id="26"/>
    </w:p>
    <w:p w:rsidR="00345E4D" w:rsidRPr="00A34375" w:rsidRDefault="00345E4D" w:rsidP="00146D32">
      <w:pPr>
        <w:spacing w:line="288" w:lineRule="auto"/>
        <w:rPr>
          <w:rFonts w:ascii="Arial" w:hAnsi="Arial" w:cs="Arial"/>
        </w:rPr>
      </w:pPr>
      <w:r w:rsidRPr="0022201D">
        <w:rPr>
          <w:rFonts w:ascii="Arial" w:hAnsi="Arial" w:cs="Arial"/>
          <w:szCs w:val="22"/>
        </w:rPr>
        <w:t>ACDBA members as at 30 June 2011 collectively had 45 offices across Australia and 5 overseas offices with a total workforce compris</w:t>
      </w:r>
      <w:r w:rsidRPr="00BD03E4">
        <w:rPr>
          <w:rFonts w:ascii="Arial" w:hAnsi="Arial" w:cs="Arial"/>
          <w:szCs w:val="22"/>
        </w:rPr>
        <w:t>ing 1994 employees, of which 45.7% are engaged in contingent collections and 54.3% deployed to debt purchase collections.  T</w:t>
      </w:r>
      <w:r w:rsidRPr="00BD03E4">
        <w:rPr>
          <w:rFonts w:ascii="Arial" w:hAnsi="Arial" w:cs="Arial"/>
        </w:rPr>
        <w:t>he overall workforce of the Collections sector taking into account those engaged by the smaller firms within the industry across Australia is estimated to be in the order of 5000.</w:t>
      </w:r>
    </w:p>
    <w:p w:rsidR="00345E4D" w:rsidRPr="0022201D" w:rsidRDefault="00345E4D" w:rsidP="00F7446F">
      <w:pPr>
        <w:spacing w:line="288" w:lineRule="auto"/>
        <w:rPr>
          <w:rFonts w:ascii="Arial" w:hAnsi="Arial" w:cs="Arial"/>
          <w:szCs w:val="22"/>
        </w:rPr>
      </w:pPr>
    </w:p>
    <w:p w:rsidR="00345E4D" w:rsidRDefault="00345E4D" w:rsidP="00F7446F">
      <w:pPr>
        <w:rPr>
          <w:rFonts w:ascii="Arial" w:hAnsi="Arial" w:cs="Arial"/>
          <w:sz w:val="24"/>
        </w:rPr>
      </w:pPr>
    </w:p>
    <w:p w:rsidR="00345E4D" w:rsidRPr="0030598A" w:rsidRDefault="00345E4D" w:rsidP="00153706">
      <w:pPr>
        <w:pStyle w:val="Heading3"/>
      </w:pPr>
      <w:bookmarkStart w:id="27" w:name="_Toc310510839"/>
      <w:r>
        <w:t xml:space="preserve">Debtor </w:t>
      </w:r>
      <w:r w:rsidRPr="0030598A">
        <w:t>Contacts</w:t>
      </w:r>
      <w:bookmarkEnd w:id="27"/>
    </w:p>
    <w:p w:rsidR="00345E4D" w:rsidRDefault="00345E4D" w:rsidP="00F7446F">
      <w:pPr>
        <w:spacing w:line="288" w:lineRule="auto"/>
        <w:rPr>
          <w:rFonts w:ascii="Arial" w:hAnsi="Arial" w:cs="Arial"/>
          <w:szCs w:val="22"/>
        </w:rPr>
      </w:pPr>
      <w:r w:rsidRPr="006C087C">
        <w:rPr>
          <w:rFonts w:ascii="Arial" w:hAnsi="Arial" w:cs="Arial"/>
          <w:szCs w:val="22"/>
        </w:rPr>
        <w:t xml:space="preserve">In the </w:t>
      </w:r>
      <w:r>
        <w:rPr>
          <w:rFonts w:ascii="Arial" w:hAnsi="Arial" w:cs="Arial"/>
          <w:szCs w:val="22"/>
        </w:rPr>
        <w:t>financial year ended 30 June 2011, ACDBA members able to provide detailed analysis of their activities in relation to some 3.6 million accounts reported making a total of 43.9 million contacts with debtors.  Contacts were broken up as follows:</w:t>
      </w:r>
    </w:p>
    <w:p w:rsidR="00345E4D" w:rsidRDefault="00345E4D" w:rsidP="00F7446F">
      <w:pPr>
        <w:spacing w:line="288" w:lineRule="auto"/>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992"/>
      </w:tblGrid>
      <w:tr w:rsidR="00345E4D" w:rsidRPr="006C087C" w:rsidTr="00DF0CFF">
        <w:tc>
          <w:tcPr>
            <w:tcW w:w="3261" w:type="dxa"/>
          </w:tcPr>
          <w:p w:rsidR="00345E4D" w:rsidRPr="00DF0CFF" w:rsidRDefault="00345E4D" w:rsidP="00DF0CFF">
            <w:pPr>
              <w:tabs>
                <w:tab w:val="left" w:pos="4058"/>
              </w:tabs>
              <w:spacing w:line="288" w:lineRule="auto"/>
              <w:rPr>
                <w:rFonts w:ascii="Arial" w:hAnsi="Arial" w:cs="Arial"/>
                <w:szCs w:val="22"/>
              </w:rPr>
            </w:pPr>
            <w:r w:rsidRPr="00DF0CFF">
              <w:rPr>
                <w:rFonts w:ascii="Arial" w:hAnsi="Arial" w:cs="Arial"/>
                <w:szCs w:val="22"/>
              </w:rPr>
              <w:t>Telephone calls to debtors</w:t>
            </w:r>
            <w:r w:rsidRPr="00DF0CFF">
              <w:rPr>
                <w:rFonts w:ascii="Arial" w:hAnsi="Arial" w:cs="Arial"/>
                <w:szCs w:val="22"/>
              </w:rPr>
              <w:tab/>
            </w:r>
          </w:p>
        </w:tc>
        <w:tc>
          <w:tcPr>
            <w:tcW w:w="992" w:type="dxa"/>
            <w:shd w:val="clear" w:color="auto" w:fill="FDE9D9"/>
          </w:tcPr>
          <w:p w:rsidR="00345E4D" w:rsidRPr="00DF0CFF" w:rsidRDefault="00345E4D" w:rsidP="00DF0CFF">
            <w:pPr>
              <w:tabs>
                <w:tab w:val="left" w:pos="4058"/>
              </w:tabs>
              <w:spacing w:line="288" w:lineRule="auto"/>
              <w:jc w:val="right"/>
              <w:rPr>
                <w:rFonts w:ascii="Arial" w:hAnsi="Arial" w:cs="Arial"/>
                <w:szCs w:val="22"/>
              </w:rPr>
            </w:pPr>
            <w:r w:rsidRPr="00DF0CFF">
              <w:rPr>
                <w:rFonts w:ascii="Arial" w:hAnsi="Arial" w:cs="Arial"/>
                <w:szCs w:val="22"/>
              </w:rPr>
              <w:t>68.0%</w:t>
            </w:r>
          </w:p>
        </w:tc>
      </w:tr>
      <w:tr w:rsidR="00345E4D" w:rsidRPr="006C087C" w:rsidTr="00DF0CFF">
        <w:tc>
          <w:tcPr>
            <w:tcW w:w="3261" w:type="dxa"/>
          </w:tcPr>
          <w:p w:rsidR="00345E4D" w:rsidRPr="00DF0CFF" w:rsidRDefault="00345E4D" w:rsidP="00DF0CFF">
            <w:pPr>
              <w:spacing w:line="288" w:lineRule="auto"/>
              <w:rPr>
                <w:rFonts w:ascii="Arial" w:hAnsi="Arial" w:cs="Arial"/>
                <w:szCs w:val="22"/>
              </w:rPr>
            </w:pPr>
            <w:r w:rsidRPr="00DF0CFF">
              <w:rPr>
                <w:rFonts w:ascii="Arial" w:hAnsi="Arial" w:cs="Arial"/>
                <w:szCs w:val="22"/>
              </w:rPr>
              <w:t>SMS/text messages to debtors</w:t>
            </w:r>
          </w:p>
        </w:tc>
        <w:tc>
          <w:tcPr>
            <w:tcW w:w="992" w:type="dxa"/>
            <w:shd w:val="clear" w:color="auto" w:fill="FDE9D9"/>
          </w:tcPr>
          <w:p w:rsidR="00345E4D" w:rsidRPr="00DF0CFF" w:rsidRDefault="00345E4D" w:rsidP="00DF0CFF">
            <w:pPr>
              <w:spacing w:line="288" w:lineRule="auto"/>
              <w:jc w:val="right"/>
              <w:rPr>
                <w:rFonts w:ascii="Arial" w:hAnsi="Arial" w:cs="Arial"/>
                <w:szCs w:val="22"/>
              </w:rPr>
            </w:pPr>
            <w:r w:rsidRPr="00DF0CFF">
              <w:rPr>
                <w:rFonts w:ascii="Arial" w:hAnsi="Arial" w:cs="Arial"/>
                <w:szCs w:val="22"/>
              </w:rPr>
              <w:t>7.7%</w:t>
            </w:r>
          </w:p>
        </w:tc>
      </w:tr>
      <w:tr w:rsidR="00345E4D" w:rsidRPr="006C087C" w:rsidTr="00DF0CFF">
        <w:tc>
          <w:tcPr>
            <w:tcW w:w="3261" w:type="dxa"/>
          </w:tcPr>
          <w:p w:rsidR="00345E4D" w:rsidRPr="00DF0CFF" w:rsidRDefault="00345E4D" w:rsidP="00DF0CFF">
            <w:pPr>
              <w:spacing w:line="288" w:lineRule="auto"/>
              <w:rPr>
                <w:rFonts w:ascii="Arial" w:hAnsi="Arial" w:cs="Arial"/>
                <w:szCs w:val="22"/>
              </w:rPr>
            </w:pPr>
            <w:r w:rsidRPr="00DF0CFF">
              <w:rPr>
                <w:rFonts w:ascii="Arial" w:hAnsi="Arial" w:cs="Arial"/>
                <w:szCs w:val="22"/>
              </w:rPr>
              <w:t>Letters to debtors</w:t>
            </w:r>
          </w:p>
        </w:tc>
        <w:tc>
          <w:tcPr>
            <w:tcW w:w="992" w:type="dxa"/>
            <w:shd w:val="clear" w:color="auto" w:fill="FDE9D9"/>
          </w:tcPr>
          <w:p w:rsidR="00345E4D" w:rsidRPr="00DF0CFF" w:rsidRDefault="00345E4D" w:rsidP="00DF0CFF">
            <w:pPr>
              <w:spacing w:line="288" w:lineRule="auto"/>
              <w:jc w:val="right"/>
              <w:rPr>
                <w:rFonts w:ascii="Arial" w:hAnsi="Arial" w:cs="Arial"/>
                <w:szCs w:val="22"/>
              </w:rPr>
            </w:pPr>
            <w:r w:rsidRPr="00DF0CFF">
              <w:rPr>
                <w:rFonts w:ascii="Arial" w:hAnsi="Arial" w:cs="Arial"/>
                <w:szCs w:val="22"/>
              </w:rPr>
              <w:t>23.8%</w:t>
            </w:r>
          </w:p>
        </w:tc>
      </w:tr>
      <w:tr w:rsidR="00345E4D" w:rsidRPr="006C087C" w:rsidTr="00DF0CFF">
        <w:tc>
          <w:tcPr>
            <w:tcW w:w="3261" w:type="dxa"/>
          </w:tcPr>
          <w:p w:rsidR="00345E4D" w:rsidRPr="00DF0CFF" w:rsidRDefault="00345E4D" w:rsidP="00DF0CFF">
            <w:pPr>
              <w:spacing w:line="288" w:lineRule="auto"/>
              <w:rPr>
                <w:rFonts w:ascii="Arial" w:hAnsi="Arial" w:cs="Arial"/>
                <w:szCs w:val="22"/>
              </w:rPr>
            </w:pPr>
            <w:r w:rsidRPr="00DF0CFF">
              <w:rPr>
                <w:rFonts w:ascii="Arial" w:hAnsi="Arial" w:cs="Arial"/>
                <w:szCs w:val="22"/>
              </w:rPr>
              <w:t xml:space="preserve">Emails to debtors </w:t>
            </w:r>
          </w:p>
        </w:tc>
        <w:tc>
          <w:tcPr>
            <w:tcW w:w="992" w:type="dxa"/>
            <w:shd w:val="clear" w:color="auto" w:fill="FDE9D9"/>
          </w:tcPr>
          <w:p w:rsidR="00345E4D" w:rsidRPr="00DF0CFF" w:rsidRDefault="00345E4D" w:rsidP="00DF0CFF">
            <w:pPr>
              <w:spacing w:line="288" w:lineRule="auto"/>
              <w:jc w:val="right"/>
              <w:rPr>
                <w:rFonts w:ascii="Arial" w:hAnsi="Arial" w:cs="Arial"/>
                <w:szCs w:val="22"/>
              </w:rPr>
            </w:pPr>
            <w:r w:rsidRPr="00DF0CFF">
              <w:rPr>
                <w:rFonts w:ascii="Arial" w:hAnsi="Arial" w:cs="Arial"/>
                <w:szCs w:val="22"/>
              </w:rPr>
              <w:t>0.5%</w:t>
            </w:r>
          </w:p>
        </w:tc>
      </w:tr>
      <w:tr w:rsidR="00345E4D" w:rsidRPr="006C087C" w:rsidTr="00DF0CFF">
        <w:tc>
          <w:tcPr>
            <w:tcW w:w="3261" w:type="dxa"/>
          </w:tcPr>
          <w:p w:rsidR="00345E4D" w:rsidRPr="00DF0CFF" w:rsidRDefault="00345E4D" w:rsidP="00DF0CFF">
            <w:pPr>
              <w:spacing w:line="288" w:lineRule="auto"/>
              <w:rPr>
                <w:rFonts w:ascii="Arial" w:hAnsi="Arial" w:cs="Arial"/>
                <w:b/>
                <w:szCs w:val="22"/>
              </w:rPr>
            </w:pPr>
            <w:r w:rsidRPr="00DF0CFF">
              <w:rPr>
                <w:rFonts w:ascii="Arial" w:hAnsi="Arial" w:cs="Arial"/>
                <w:b/>
                <w:szCs w:val="22"/>
              </w:rPr>
              <w:t>Total contacts</w:t>
            </w:r>
          </w:p>
        </w:tc>
        <w:tc>
          <w:tcPr>
            <w:tcW w:w="992" w:type="dxa"/>
            <w:shd w:val="clear" w:color="auto" w:fill="FDE9D9"/>
          </w:tcPr>
          <w:p w:rsidR="00345E4D" w:rsidRPr="00DF0CFF" w:rsidRDefault="00345E4D" w:rsidP="00DF0CFF">
            <w:pPr>
              <w:spacing w:line="288" w:lineRule="auto"/>
              <w:jc w:val="right"/>
              <w:rPr>
                <w:rFonts w:ascii="Arial" w:hAnsi="Arial" w:cs="Arial"/>
                <w:b/>
                <w:szCs w:val="22"/>
              </w:rPr>
            </w:pPr>
            <w:r w:rsidRPr="00DF0CFF">
              <w:rPr>
                <w:rFonts w:ascii="Arial" w:hAnsi="Arial" w:cs="Arial"/>
                <w:b/>
                <w:szCs w:val="22"/>
              </w:rPr>
              <w:t>100.0%</w:t>
            </w:r>
          </w:p>
        </w:tc>
      </w:tr>
    </w:tbl>
    <w:p w:rsidR="00345E4D" w:rsidRDefault="00345E4D" w:rsidP="00F7446F">
      <w:pPr>
        <w:jc w:val="left"/>
      </w:pPr>
    </w:p>
    <w:p w:rsidR="00345E4D" w:rsidRDefault="00345E4D" w:rsidP="00F7446F">
      <w:pPr>
        <w:jc w:val="left"/>
      </w:pPr>
    </w:p>
    <w:p w:rsidR="00345E4D" w:rsidRDefault="00345E4D" w:rsidP="00153706">
      <w:pPr>
        <w:pStyle w:val="Heading3"/>
      </w:pPr>
      <w:bookmarkStart w:id="28" w:name="_Toc310510840"/>
      <w:r>
        <w:t>Complaints/Incidents Data</w:t>
      </w:r>
      <w:bookmarkEnd w:id="28"/>
    </w:p>
    <w:p w:rsidR="00345E4D" w:rsidRDefault="00345E4D" w:rsidP="00F7446F">
      <w:pPr>
        <w:spacing w:line="288" w:lineRule="auto"/>
        <w:rPr>
          <w:rFonts w:ascii="Arial" w:hAnsi="Arial" w:cs="Arial"/>
          <w:szCs w:val="22"/>
        </w:rPr>
      </w:pPr>
      <w:r>
        <w:rPr>
          <w:rFonts w:ascii="Arial" w:hAnsi="Arial" w:cs="Arial"/>
          <w:szCs w:val="22"/>
        </w:rPr>
        <w:t>Complaints/Incidents</w:t>
      </w:r>
      <w:r w:rsidRPr="00CF68E8">
        <w:rPr>
          <w:rFonts w:ascii="Arial" w:hAnsi="Arial" w:cs="Arial"/>
          <w:szCs w:val="22"/>
        </w:rPr>
        <w:t xml:space="preserve"> recorded as part of each member</w:t>
      </w:r>
      <w:r>
        <w:rPr>
          <w:rFonts w:ascii="Arial" w:hAnsi="Arial" w:cs="Arial"/>
          <w:szCs w:val="22"/>
        </w:rPr>
        <w:t>’</w:t>
      </w:r>
      <w:r w:rsidRPr="00CF68E8">
        <w:rPr>
          <w:rFonts w:ascii="Arial" w:hAnsi="Arial" w:cs="Arial"/>
          <w:szCs w:val="22"/>
        </w:rPr>
        <w:t>s IDR process were considered to be any matter relating to alleged unsatisfactory professional collector</w:t>
      </w:r>
      <w:r>
        <w:rPr>
          <w:rFonts w:ascii="Arial" w:hAnsi="Arial" w:cs="Arial"/>
          <w:szCs w:val="22"/>
        </w:rPr>
        <w:t xml:space="preserve"> </w:t>
      </w:r>
      <w:r w:rsidRPr="00CF68E8">
        <w:rPr>
          <w:rFonts w:ascii="Arial" w:hAnsi="Arial" w:cs="Arial"/>
          <w:szCs w:val="22"/>
        </w:rPr>
        <w:t>conduct lodged as requiring investigation</w:t>
      </w:r>
      <w:r>
        <w:rPr>
          <w:rFonts w:ascii="Arial" w:hAnsi="Arial" w:cs="Arial"/>
          <w:szCs w:val="22"/>
        </w:rPr>
        <w:t>.  They</w:t>
      </w:r>
      <w:r w:rsidRPr="00CF68E8">
        <w:rPr>
          <w:rFonts w:ascii="Arial" w:hAnsi="Arial" w:cs="Arial"/>
          <w:szCs w:val="22"/>
        </w:rPr>
        <w:t xml:space="preserve"> exclud</w:t>
      </w:r>
      <w:r>
        <w:rPr>
          <w:rFonts w:ascii="Arial" w:hAnsi="Arial" w:cs="Arial"/>
          <w:szCs w:val="22"/>
        </w:rPr>
        <w:t>ed</w:t>
      </w:r>
      <w:r w:rsidRPr="00CF68E8">
        <w:rPr>
          <w:rFonts w:ascii="Arial" w:hAnsi="Arial" w:cs="Arial"/>
          <w:szCs w:val="22"/>
        </w:rPr>
        <w:t xml:space="preserve"> genuine requests made by debtors</w:t>
      </w:r>
      <w:r>
        <w:rPr>
          <w:rFonts w:ascii="Arial" w:hAnsi="Arial" w:cs="Arial"/>
          <w:szCs w:val="22"/>
        </w:rPr>
        <w:t xml:space="preserve"> for additional </w:t>
      </w:r>
      <w:r w:rsidRPr="00CF68E8">
        <w:rPr>
          <w:rFonts w:ascii="Arial" w:hAnsi="Arial" w:cs="Arial"/>
          <w:szCs w:val="22"/>
        </w:rPr>
        <w:t>information to better understand the terms of an account, the balance</w:t>
      </w:r>
      <w:r>
        <w:rPr>
          <w:rFonts w:ascii="Arial" w:hAnsi="Arial" w:cs="Arial"/>
          <w:szCs w:val="22"/>
        </w:rPr>
        <w:t xml:space="preserve"> outstanding </w:t>
      </w:r>
      <w:r w:rsidRPr="00CF68E8">
        <w:rPr>
          <w:rFonts w:ascii="Arial" w:hAnsi="Arial" w:cs="Arial"/>
          <w:szCs w:val="22"/>
        </w:rPr>
        <w:t xml:space="preserve">or the history of payments made.  </w:t>
      </w:r>
    </w:p>
    <w:p w:rsidR="00345E4D" w:rsidRDefault="00345E4D" w:rsidP="00F7446F">
      <w:pPr>
        <w:spacing w:line="288" w:lineRule="auto"/>
        <w:rPr>
          <w:rFonts w:ascii="Arial" w:hAnsi="Arial" w:cs="Arial"/>
          <w:szCs w:val="22"/>
        </w:rPr>
      </w:pPr>
    </w:p>
    <w:p w:rsidR="00345E4D" w:rsidRDefault="00345E4D" w:rsidP="00F7446F">
      <w:pPr>
        <w:spacing w:line="288" w:lineRule="auto"/>
        <w:rPr>
          <w:rFonts w:ascii="Arial" w:hAnsi="Arial" w:cs="Arial"/>
          <w:szCs w:val="22"/>
        </w:rPr>
      </w:pPr>
      <w:r w:rsidRPr="00CF68E8">
        <w:rPr>
          <w:rFonts w:ascii="Arial" w:hAnsi="Arial" w:cs="Arial"/>
          <w:szCs w:val="22"/>
        </w:rPr>
        <w:t xml:space="preserve">Members reported the following </w:t>
      </w:r>
      <w:r>
        <w:rPr>
          <w:rFonts w:ascii="Arial" w:hAnsi="Arial" w:cs="Arial"/>
          <w:szCs w:val="22"/>
        </w:rPr>
        <w:t xml:space="preserve">number of incidents received from debtors: </w:t>
      </w:r>
    </w:p>
    <w:p w:rsidR="00345E4D" w:rsidRDefault="00345E4D" w:rsidP="00F7446F">
      <w:pPr>
        <w:spacing w:line="288" w:lineRule="auto"/>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417"/>
      </w:tblGrid>
      <w:tr w:rsidR="00345E4D" w:rsidRPr="00F71082" w:rsidTr="00DF0CFF">
        <w:tc>
          <w:tcPr>
            <w:tcW w:w="3261" w:type="dxa"/>
          </w:tcPr>
          <w:p w:rsidR="00345E4D" w:rsidRPr="00DF0CFF" w:rsidRDefault="00345E4D" w:rsidP="00DF0CFF">
            <w:pPr>
              <w:tabs>
                <w:tab w:val="left" w:pos="4058"/>
              </w:tabs>
              <w:spacing w:before="120" w:line="288" w:lineRule="auto"/>
              <w:rPr>
                <w:rFonts w:ascii="Arial" w:hAnsi="Arial" w:cs="Arial"/>
                <w:b/>
                <w:szCs w:val="22"/>
              </w:rPr>
            </w:pPr>
            <w:r w:rsidRPr="00DF0CFF">
              <w:rPr>
                <w:rFonts w:ascii="Arial" w:hAnsi="Arial" w:cs="Arial"/>
                <w:szCs w:val="22"/>
              </w:rPr>
              <w:t>Incidents received via:</w:t>
            </w:r>
          </w:p>
        </w:tc>
        <w:tc>
          <w:tcPr>
            <w:tcW w:w="1417" w:type="dxa"/>
            <w:shd w:val="clear" w:color="auto" w:fill="FDE9D9"/>
          </w:tcPr>
          <w:p w:rsidR="00345E4D" w:rsidRPr="00DF0CFF" w:rsidRDefault="00345E4D" w:rsidP="00DF0CFF">
            <w:pPr>
              <w:spacing w:line="288" w:lineRule="auto"/>
              <w:jc w:val="center"/>
              <w:rPr>
                <w:rFonts w:ascii="Arial" w:hAnsi="Arial" w:cs="Arial"/>
                <w:sz w:val="18"/>
                <w:szCs w:val="22"/>
              </w:rPr>
            </w:pPr>
            <w:r w:rsidRPr="00DF0CFF">
              <w:rPr>
                <w:rFonts w:ascii="Arial" w:hAnsi="Arial" w:cs="Arial"/>
                <w:sz w:val="18"/>
                <w:szCs w:val="22"/>
              </w:rPr>
              <w:t>Year ended</w:t>
            </w:r>
          </w:p>
          <w:p w:rsidR="00345E4D" w:rsidRPr="00DF0CFF" w:rsidRDefault="00345E4D" w:rsidP="00DF0CFF">
            <w:pPr>
              <w:spacing w:line="288" w:lineRule="auto"/>
              <w:jc w:val="center"/>
              <w:rPr>
                <w:rFonts w:ascii="Arial" w:hAnsi="Arial" w:cs="Arial"/>
                <w:b/>
                <w:szCs w:val="22"/>
              </w:rPr>
            </w:pPr>
            <w:r w:rsidRPr="00DF0CFF">
              <w:rPr>
                <w:rFonts w:ascii="Arial" w:hAnsi="Arial" w:cs="Arial"/>
                <w:sz w:val="18"/>
                <w:szCs w:val="22"/>
              </w:rPr>
              <w:t>30 June 2011</w:t>
            </w:r>
          </w:p>
        </w:tc>
      </w:tr>
      <w:tr w:rsidR="00345E4D" w:rsidRPr="00F71082" w:rsidTr="00DF0CFF">
        <w:tc>
          <w:tcPr>
            <w:tcW w:w="3261" w:type="dxa"/>
          </w:tcPr>
          <w:p w:rsidR="00345E4D" w:rsidRPr="00DF0CFF" w:rsidRDefault="00345E4D" w:rsidP="00DF0CFF">
            <w:pPr>
              <w:spacing w:line="288" w:lineRule="auto"/>
              <w:rPr>
                <w:rFonts w:ascii="Arial" w:hAnsi="Arial" w:cs="Arial"/>
                <w:szCs w:val="22"/>
              </w:rPr>
            </w:pPr>
            <w:r w:rsidRPr="00DF0CFF">
              <w:rPr>
                <w:rFonts w:ascii="Arial" w:hAnsi="Arial" w:cs="Arial"/>
                <w:szCs w:val="22"/>
              </w:rPr>
              <w:t>IDR</w:t>
            </w:r>
          </w:p>
        </w:tc>
        <w:tc>
          <w:tcPr>
            <w:tcW w:w="1417" w:type="dxa"/>
            <w:shd w:val="clear" w:color="auto" w:fill="FDE9D9"/>
          </w:tcPr>
          <w:p w:rsidR="00345E4D" w:rsidRPr="00DF0CFF" w:rsidRDefault="00345E4D" w:rsidP="00DF0CFF">
            <w:pPr>
              <w:spacing w:line="288" w:lineRule="auto"/>
              <w:ind w:right="175"/>
              <w:jc w:val="right"/>
              <w:rPr>
                <w:rFonts w:ascii="Arial" w:hAnsi="Arial" w:cs="Arial"/>
                <w:szCs w:val="22"/>
              </w:rPr>
            </w:pPr>
            <w:r w:rsidRPr="00DF0CFF">
              <w:rPr>
                <w:rFonts w:ascii="Arial" w:hAnsi="Arial" w:cs="Arial"/>
                <w:szCs w:val="22"/>
              </w:rPr>
              <w:t>2564</w:t>
            </w:r>
          </w:p>
        </w:tc>
      </w:tr>
      <w:tr w:rsidR="00345E4D" w:rsidRPr="00F71082" w:rsidTr="00DF0CFF">
        <w:tc>
          <w:tcPr>
            <w:tcW w:w="3261" w:type="dxa"/>
          </w:tcPr>
          <w:p w:rsidR="00345E4D" w:rsidRPr="00DF0CFF" w:rsidRDefault="00345E4D" w:rsidP="00DF0CFF">
            <w:pPr>
              <w:spacing w:line="288" w:lineRule="auto"/>
              <w:rPr>
                <w:rFonts w:ascii="Arial" w:hAnsi="Arial" w:cs="Arial"/>
                <w:szCs w:val="22"/>
              </w:rPr>
            </w:pPr>
            <w:r w:rsidRPr="00DF0CFF">
              <w:rPr>
                <w:rFonts w:ascii="Arial" w:hAnsi="Arial" w:cs="Arial"/>
                <w:szCs w:val="22"/>
              </w:rPr>
              <w:t>EDR</w:t>
            </w:r>
          </w:p>
        </w:tc>
        <w:tc>
          <w:tcPr>
            <w:tcW w:w="1417" w:type="dxa"/>
            <w:shd w:val="clear" w:color="auto" w:fill="FDE9D9"/>
          </w:tcPr>
          <w:p w:rsidR="00345E4D" w:rsidRPr="00DF0CFF" w:rsidRDefault="00345E4D" w:rsidP="00DF0CFF">
            <w:pPr>
              <w:spacing w:line="288" w:lineRule="auto"/>
              <w:ind w:right="175"/>
              <w:jc w:val="right"/>
              <w:rPr>
                <w:rFonts w:ascii="Arial" w:hAnsi="Arial" w:cs="Arial"/>
                <w:szCs w:val="22"/>
              </w:rPr>
            </w:pPr>
            <w:r w:rsidRPr="00DF0CFF">
              <w:rPr>
                <w:rFonts w:ascii="Arial" w:hAnsi="Arial" w:cs="Arial"/>
                <w:szCs w:val="22"/>
              </w:rPr>
              <w:t>704</w:t>
            </w:r>
          </w:p>
        </w:tc>
      </w:tr>
      <w:tr w:rsidR="00345E4D" w:rsidRPr="00F71082" w:rsidTr="00DF0CFF">
        <w:tc>
          <w:tcPr>
            <w:tcW w:w="3261" w:type="dxa"/>
          </w:tcPr>
          <w:p w:rsidR="00345E4D" w:rsidRPr="00DF0CFF" w:rsidRDefault="00345E4D" w:rsidP="00DF0CFF">
            <w:pPr>
              <w:spacing w:line="288" w:lineRule="auto"/>
              <w:rPr>
                <w:rFonts w:ascii="Arial" w:hAnsi="Arial" w:cs="Arial"/>
                <w:szCs w:val="22"/>
              </w:rPr>
            </w:pPr>
            <w:r w:rsidRPr="00DF0CFF">
              <w:rPr>
                <w:rFonts w:ascii="Arial" w:hAnsi="Arial" w:cs="Arial"/>
                <w:szCs w:val="22"/>
              </w:rPr>
              <w:t>Regulators</w:t>
            </w:r>
          </w:p>
        </w:tc>
        <w:tc>
          <w:tcPr>
            <w:tcW w:w="1417" w:type="dxa"/>
            <w:shd w:val="clear" w:color="auto" w:fill="FDE9D9"/>
          </w:tcPr>
          <w:p w:rsidR="00345E4D" w:rsidRPr="00DF0CFF" w:rsidRDefault="00345E4D" w:rsidP="00DF0CFF">
            <w:pPr>
              <w:spacing w:line="288" w:lineRule="auto"/>
              <w:ind w:right="175"/>
              <w:jc w:val="right"/>
              <w:rPr>
                <w:rFonts w:ascii="Arial" w:hAnsi="Arial" w:cs="Arial"/>
                <w:szCs w:val="22"/>
              </w:rPr>
            </w:pPr>
            <w:r w:rsidRPr="00DF0CFF">
              <w:rPr>
                <w:rFonts w:ascii="Arial" w:hAnsi="Arial" w:cs="Arial"/>
                <w:szCs w:val="22"/>
              </w:rPr>
              <w:t>20</w:t>
            </w:r>
          </w:p>
        </w:tc>
      </w:tr>
      <w:tr w:rsidR="00345E4D" w:rsidRPr="00F71082" w:rsidTr="00DF0CFF">
        <w:tc>
          <w:tcPr>
            <w:tcW w:w="3261" w:type="dxa"/>
          </w:tcPr>
          <w:p w:rsidR="00345E4D" w:rsidRPr="00DF0CFF" w:rsidRDefault="00345E4D" w:rsidP="00DF0CFF">
            <w:pPr>
              <w:spacing w:line="288" w:lineRule="auto"/>
              <w:rPr>
                <w:rFonts w:ascii="Arial" w:hAnsi="Arial" w:cs="Arial"/>
                <w:b/>
                <w:szCs w:val="20"/>
              </w:rPr>
            </w:pPr>
            <w:r w:rsidRPr="00DF0CFF">
              <w:rPr>
                <w:rFonts w:ascii="Arial" w:hAnsi="Arial" w:cs="Arial"/>
                <w:b/>
                <w:szCs w:val="20"/>
              </w:rPr>
              <w:t>Total Incidents Received</w:t>
            </w:r>
          </w:p>
        </w:tc>
        <w:tc>
          <w:tcPr>
            <w:tcW w:w="1417" w:type="dxa"/>
            <w:shd w:val="clear" w:color="auto" w:fill="FDE9D9"/>
          </w:tcPr>
          <w:p w:rsidR="00345E4D" w:rsidRPr="00DF0CFF" w:rsidRDefault="00345E4D" w:rsidP="00DF0CFF">
            <w:pPr>
              <w:spacing w:line="288" w:lineRule="auto"/>
              <w:ind w:right="175"/>
              <w:jc w:val="right"/>
              <w:rPr>
                <w:rFonts w:ascii="Arial" w:hAnsi="Arial" w:cs="Arial"/>
                <w:b/>
                <w:szCs w:val="20"/>
              </w:rPr>
            </w:pPr>
            <w:r w:rsidRPr="00DF0CFF">
              <w:rPr>
                <w:rFonts w:ascii="Arial" w:hAnsi="Arial" w:cs="Arial"/>
                <w:b/>
                <w:szCs w:val="20"/>
              </w:rPr>
              <w:t>3288</w:t>
            </w:r>
          </w:p>
        </w:tc>
      </w:tr>
    </w:tbl>
    <w:p w:rsidR="00345E4D" w:rsidRPr="00F71082" w:rsidRDefault="00345E4D" w:rsidP="00F7446F">
      <w:pPr>
        <w:spacing w:line="288" w:lineRule="auto"/>
        <w:rPr>
          <w:rFonts w:ascii="Arial" w:hAnsi="Arial" w:cs="Arial"/>
          <w:szCs w:val="22"/>
        </w:rPr>
      </w:pPr>
    </w:p>
    <w:p w:rsidR="00345E4D" w:rsidRDefault="00345E4D" w:rsidP="00F7446F">
      <w:pPr>
        <w:spacing w:line="288" w:lineRule="auto"/>
        <w:rPr>
          <w:rFonts w:ascii="Arial" w:hAnsi="Arial" w:cs="Arial"/>
          <w:szCs w:val="22"/>
        </w:rPr>
      </w:pPr>
      <w:r>
        <w:rPr>
          <w:rFonts w:ascii="Arial" w:hAnsi="Arial" w:cs="Arial"/>
          <w:szCs w:val="22"/>
        </w:rPr>
        <w:t>The</w:t>
      </w:r>
      <w:r w:rsidRPr="0091153F">
        <w:rPr>
          <w:rFonts w:ascii="Arial" w:hAnsi="Arial" w:cs="Arial"/>
          <w:szCs w:val="22"/>
        </w:rPr>
        <w:t xml:space="preserve"> </w:t>
      </w:r>
      <w:r>
        <w:rPr>
          <w:rFonts w:ascii="Arial" w:hAnsi="Arial" w:cs="Arial"/>
          <w:szCs w:val="22"/>
        </w:rPr>
        <w:t xml:space="preserve">total </w:t>
      </w:r>
      <w:r w:rsidRPr="0091153F">
        <w:rPr>
          <w:rFonts w:ascii="Arial" w:hAnsi="Arial" w:cs="Arial"/>
          <w:szCs w:val="22"/>
        </w:rPr>
        <w:t xml:space="preserve">number of incidents reported </w:t>
      </w:r>
      <w:r>
        <w:rPr>
          <w:rFonts w:ascii="Arial" w:hAnsi="Arial" w:cs="Arial"/>
          <w:szCs w:val="22"/>
        </w:rPr>
        <w:t xml:space="preserve">when compared </w:t>
      </w:r>
      <w:r w:rsidRPr="0091153F">
        <w:rPr>
          <w:rFonts w:ascii="Arial" w:hAnsi="Arial" w:cs="Arial"/>
          <w:szCs w:val="22"/>
        </w:rPr>
        <w:t>to the total number of contacts made in the period</w:t>
      </w:r>
      <w:r>
        <w:rPr>
          <w:rFonts w:ascii="Arial" w:hAnsi="Arial" w:cs="Arial"/>
          <w:szCs w:val="22"/>
        </w:rPr>
        <w:t xml:space="preserve"> reveals a very low incident rate of 0.007% for the Collections sector.</w:t>
      </w:r>
    </w:p>
    <w:p w:rsidR="00345E4D" w:rsidRDefault="00345E4D" w:rsidP="00F7446F">
      <w:pPr>
        <w:spacing w:line="288" w:lineRule="auto"/>
        <w:rPr>
          <w:rFonts w:ascii="Arial" w:hAnsi="Arial" w:cs="Arial"/>
          <w:szCs w:val="22"/>
        </w:rPr>
      </w:pPr>
    </w:p>
    <w:p w:rsidR="00345E4D" w:rsidRDefault="00345E4D" w:rsidP="00F7446F">
      <w:pPr>
        <w:spacing w:line="288" w:lineRule="auto"/>
        <w:rPr>
          <w:rFonts w:cs="Arial"/>
          <w:b/>
          <w:bCs/>
          <w:kern w:val="32"/>
          <w:sz w:val="32"/>
          <w:szCs w:val="32"/>
        </w:rPr>
      </w:pPr>
      <w:r>
        <w:rPr>
          <w:rFonts w:ascii="Arial" w:hAnsi="Arial" w:cs="Arial"/>
          <w:szCs w:val="22"/>
        </w:rPr>
        <w:t>The incident rate is actually significantly lower again when an appropriate adjustment is made for those incidents reported where there was no basis for reporting or there was insufficient detail to permit investigation (a total of 1224 incidents).  The adjusted incident rate is then 0.005%.</w:t>
      </w:r>
    </w:p>
    <w:p w:rsidR="00345E4D" w:rsidRDefault="00345E4D">
      <w:pPr>
        <w:jc w:val="left"/>
        <w:rPr>
          <w:rFonts w:ascii="Arial" w:hAnsi="Arial" w:cs="Arial"/>
          <w:b/>
        </w:rPr>
      </w:pPr>
      <w:r>
        <w:rPr>
          <w:rFonts w:ascii="Arial" w:hAnsi="Arial" w:cs="Arial"/>
          <w:b/>
        </w:rPr>
        <w:br w:type="page"/>
      </w:r>
    </w:p>
    <w:p w:rsidR="00345E4D" w:rsidRPr="00796771" w:rsidRDefault="00345E4D" w:rsidP="00153706">
      <w:pPr>
        <w:pStyle w:val="Heading1"/>
      </w:pPr>
      <w:bookmarkStart w:id="29" w:name="_Toc310510841"/>
      <w:r>
        <w:t>Annexure B</w:t>
      </w:r>
      <w:r>
        <w:tab/>
      </w:r>
      <w:r w:rsidRPr="00796771">
        <w:t xml:space="preserve">ACDBA Concerns – Current </w:t>
      </w:r>
      <w:r>
        <w:t>Regulatory</w:t>
      </w:r>
      <w:r w:rsidRPr="00796771">
        <w:t xml:space="preserve"> Environment</w:t>
      </w:r>
      <w:bookmarkEnd w:id="29"/>
    </w:p>
    <w:p w:rsidR="00345E4D" w:rsidRDefault="00345E4D" w:rsidP="0007514D">
      <w:pPr>
        <w:rPr>
          <w:rFonts w:ascii="Arial" w:hAnsi="Arial" w:cs="Arial"/>
        </w:rPr>
      </w:pPr>
      <w:r>
        <w:rPr>
          <w:rFonts w:ascii="Arial" w:hAnsi="Arial" w:cs="Arial"/>
        </w:rPr>
        <w:t>Our high level concerns about the existing regulatory models in place across the state and territory jurisdictions, include:</w:t>
      </w:r>
    </w:p>
    <w:p w:rsidR="00345E4D" w:rsidRDefault="00345E4D" w:rsidP="0007514D">
      <w:pPr>
        <w:rPr>
          <w:rFonts w:ascii="Arial" w:hAnsi="Arial" w:cs="Arial"/>
        </w:rPr>
      </w:pPr>
    </w:p>
    <w:p w:rsidR="00345E4D" w:rsidRDefault="00345E4D" w:rsidP="00A913BF">
      <w:pPr>
        <w:pStyle w:val="ListParagraph"/>
        <w:numPr>
          <w:ilvl w:val="0"/>
          <w:numId w:val="5"/>
        </w:numPr>
        <w:spacing w:after="200" w:line="288" w:lineRule="auto"/>
        <w:ind w:left="709" w:hanging="283"/>
        <w:rPr>
          <w:rFonts w:ascii="Arial" w:hAnsi="Arial" w:cs="Arial"/>
          <w:iCs/>
          <w:szCs w:val="22"/>
        </w:rPr>
      </w:pPr>
      <w:r>
        <w:rPr>
          <w:rFonts w:ascii="Arial" w:hAnsi="Arial" w:cs="Arial"/>
          <w:iCs/>
          <w:szCs w:val="22"/>
        </w:rPr>
        <w:t xml:space="preserve">inconsistent </w:t>
      </w:r>
      <w:r w:rsidRPr="005B631C">
        <w:rPr>
          <w:rFonts w:ascii="Arial" w:hAnsi="Arial" w:cs="Arial"/>
          <w:iCs/>
          <w:szCs w:val="22"/>
        </w:rPr>
        <w:t xml:space="preserve">licensing requirements and standards across </w:t>
      </w:r>
      <w:r>
        <w:rPr>
          <w:rFonts w:ascii="Arial" w:hAnsi="Arial" w:cs="Arial"/>
          <w:iCs/>
          <w:szCs w:val="22"/>
        </w:rPr>
        <w:t>jurisdictions;</w:t>
      </w:r>
    </w:p>
    <w:p w:rsidR="00345E4D" w:rsidRDefault="00345E4D" w:rsidP="00A913BF">
      <w:pPr>
        <w:pStyle w:val="ListParagraph"/>
        <w:numPr>
          <w:ilvl w:val="0"/>
          <w:numId w:val="5"/>
        </w:numPr>
        <w:spacing w:after="200" w:line="288" w:lineRule="auto"/>
        <w:ind w:left="709" w:hanging="283"/>
        <w:rPr>
          <w:rFonts w:ascii="Arial" w:hAnsi="Arial" w:cs="Arial"/>
          <w:iCs/>
          <w:szCs w:val="22"/>
        </w:rPr>
      </w:pPr>
      <w:r>
        <w:rPr>
          <w:rFonts w:ascii="Arial" w:hAnsi="Arial" w:cs="Arial"/>
          <w:iCs/>
          <w:szCs w:val="22"/>
        </w:rPr>
        <w:t>licensing overlay for those regulated under the NCCP Act;</w:t>
      </w:r>
    </w:p>
    <w:p w:rsidR="00345E4D" w:rsidRDefault="00345E4D" w:rsidP="00A913BF">
      <w:pPr>
        <w:pStyle w:val="ListParagraph"/>
        <w:numPr>
          <w:ilvl w:val="0"/>
          <w:numId w:val="5"/>
        </w:numPr>
        <w:spacing w:after="200" w:line="288" w:lineRule="auto"/>
        <w:ind w:left="709" w:hanging="283"/>
        <w:rPr>
          <w:rFonts w:ascii="Arial" w:hAnsi="Arial" w:cs="Arial"/>
          <w:iCs/>
          <w:szCs w:val="22"/>
        </w:rPr>
      </w:pPr>
      <w:r>
        <w:rPr>
          <w:rFonts w:ascii="Arial" w:hAnsi="Arial" w:cs="Arial"/>
          <w:iCs/>
          <w:szCs w:val="22"/>
        </w:rPr>
        <w:t>inconsistent conduct requirements across jurisdictions;</w:t>
      </w:r>
    </w:p>
    <w:p w:rsidR="00345E4D" w:rsidRDefault="00345E4D" w:rsidP="00A913BF">
      <w:pPr>
        <w:pStyle w:val="ListParagraph"/>
        <w:numPr>
          <w:ilvl w:val="0"/>
          <w:numId w:val="5"/>
        </w:numPr>
        <w:spacing w:after="200" w:line="288" w:lineRule="auto"/>
        <w:ind w:left="709" w:hanging="283"/>
        <w:rPr>
          <w:rFonts w:ascii="Arial" w:hAnsi="Arial" w:cs="Arial"/>
          <w:iCs/>
          <w:szCs w:val="22"/>
        </w:rPr>
      </w:pPr>
      <w:r>
        <w:rPr>
          <w:rFonts w:ascii="Arial" w:hAnsi="Arial" w:cs="Arial"/>
          <w:iCs/>
          <w:szCs w:val="22"/>
        </w:rPr>
        <w:t>unwarranted intrusion into commercial arrangements between businesses;</w:t>
      </w:r>
    </w:p>
    <w:p w:rsidR="00345E4D" w:rsidRDefault="00345E4D" w:rsidP="00A913BF">
      <w:pPr>
        <w:pStyle w:val="ListParagraph"/>
        <w:numPr>
          <w:ilvl w:val="0"/>
          <w:numId w:val="5"/>
        </w:numPr>
        <w:spacing w:after="200" w:line="288" w:lineRule="auto"/>
        <w:ind w:left="709" w:hanging="283"/>
        <w:rPr>
          <w:rFonts w:ascii="Arial" w:hAnsi="Arial" w:cs="Arial"/>
          <w:iCs/>
          <w:szCs w:val="22"/>
        </w:rPr>
      </w:pPr>
      <w:r>
        <w:rPr>
          <w:rFonts w:ascii="Arial" w:hAnsi="Arial" w:cs="Arial"/>
          <w:iCs/>
          <w:szCs w:val="22"/>
        </w:rPr>
        <w:t>inappropriate, restrictive and expensive training delivery requirements which ignore workplace training; and</w:t>
      </w:r>
    </w:p>
    <w:p w:rsidR="00345E4D" w:rsidRDefault="00345E4D" w:rsidP="00A913BF">
      <w:pPr>
        <w:pStyle w:val="ListParagraph"/>
        <w:numPr>
          <w:ilvl w:val="0"/>
          <w:numId w:val="5"/>
        </w:numPr>
        <w:spacing w:after="200" w:line="288" w:lineRule="auto"/>
        <w:ind w:left="709" w:hanging="283"/>
        <w:rPr>
          <w:rFonts w:ascii="Arial" w:hAnsi="Arial" w:cs="Arial"/>
          <w:iCs/>
          <w:szCs w:val="22"/>
        </w:rPr>
      </w:pPr>
      <w:r>
        <w:rPr>
          <w:rFonts w:ascii="Arial" w:hAnsi="Arial" w:cs="Arial"/>
          <w:iCs/>
          <w:szCs w:val="22"/>
        </w:rPr>
        <w:t>administrative inefficiencies across all jurisdictions.</w:t>
      </w:r>
    </w:p>
    <w:p w:rsidR="00345E4D" w:rsidRDefault="00345E4D" w:rsidP="0007514D">
      <w:pPr>
        <w:spacing w:line="288" w:lineRule="auto"/>
        <w:rPr>
          <w:rFonts w:ascii="Arial" w:hAnsi="Arial" w:cs="Arial"/>
        </w:rPr>
      </w:pPr>
      <w:r w:rsidRPr="00A8308F">
        <w:rPr>
          <w:rFonts w:ascii="Arial" w:hAnsi="Arial" w:cs="Arial"/>
        </w:rPr>
        <w:t xml:space="preserve">The sophistication, maturity and size of the </w:t>
      </w:r>
      <w:r>
        <w:rPr>
          <w:rFonts w:ascii="Arial" w:hAnsi="Arial" w:cs="Arial"/>
        </w:rPr>
        <w:t>Collections sector</w:t>
      </w:r>
      <w:r w:rsidRPr="00A8308F">
        <w:rPr>
          <w:rFonts w:ascii="Arial" w:hAnsi="Arial" w:cs="Arial"/>
        </w:rPr>
        <w:t xml:space="preserve"> which increasingly functions on a multi-jurisdictional basis </w:t>
      </w:r>
      <w:r>
        <w:rPr>
          <w:rFonts w:ascii="Arial" w:hAnsi="Arial" w:cs="Arial"/>
        </w:rPr>
        <w:t>together with</w:t>
      </w:r>
      <w:r w:rsidRPr="00A8308F">
        <w:rPr>
          <w:rFonts w:ascii="Arial" w:hAnsi="Arial" w:cs="Arial"/>
        </w:rPr>
        <w:t xml:space="preserve"> its significant overall contribution to the Australian economy warrants a </w:t>
      </w:r>
      <w:r>
        <w:rPr>
          <w:rFonts w:ascii="Arial" w:hAnsi="Arial" w:cs="Arial"/>
        </w:rPr>
        <w:t xml:space="preserve">streamlined </w:t>
      </w:r>
      <w:r w:rsidRPr="00A8308F">
        <w:rPr>
          <w:rFonts w:ascii="Arial" w:hAnsi="Arial" w:cs="Arial"/>
        </w:rPr>
        <w:t>national approach to regulation removing costly, artificial and antiquated regulatory requirements.</w:t>
      </w:r>
    </w:p>
    <w:p w:rsidR="00345E4D" w:rsidRDefault="00345E4D" w:rsidP="0007514D">
      <w:pPr>
        <w:spacing w:line="288" w:lineRule="auto"/>
        <w:rPr>
          <w:rFonts w:ascii="Arial" w:hAnsi="Arial" w:cs="Arial"/>
        </w:rPr>
      </w:pPr>
    </w:p>
    <w:p w:rsidR="00345E4D" w:rsidRDefault="00345E4D" w:rsidP="0007514D">
      <w:pPr>
        <w:spacing w:line="288" w:lineRule="auto"/>
        <w:rPr>
          <w:rFonts w:ascii="Arial" w:hAnsi="Arial" w:cs="Arial"/>
        </w:rPr>
      </w:pPr>
      <w:r>
        <w:rPr>
          <w:rFonts w:ascii="Arial" w:hAnsi="Arial" w:cs="Arial"/>
        </w:rPr>
        <w:t>The modern day reality is business and corporate behaviour generally is already well regulated in Australia. Such wider business and corporate regulations directly impacts upon and shapes the businesses operating in the Collections sector. There is no evidence of the Collections sector failing to be good citizens with respect to business and corporate regulatory requirements and expectations.</w:t>
      </w:r>
    </w:p>
    <w:p w:rsidR="00345E4D" w:rsidRDefault="00345E4D" w:rsidP="0007514D">
      <w:pPr>
        <w:spacing w:line="288" w:lineRule="auto"/>
        <w:rPr>
          <w:rFonts w:ascii="Arial" w:hAnsi="Arial" w:cs="Arial"/>
        </w:rPr>
      </w:pPr>
    </w:p>
    <w:p w:rsidR="00345E4D" w:rsidRDefault="00345E4D" w:rsidP="0007514D">
      <w:pPr>
        <w:spacing w:line="288" w:lineRule="auto"/>
        <w:rPr>
          <w:rFonts w:ascii="Arial" w:hAnsi="Arial" w:cs="Arial"/>
        </w:rPr>
      </w:pPr>
      <w:r>
        <w:rPr>
          <w:rFonts w:ascii="Arial" w:hAnsi="Arial" w:cs="Arial"/>
        </w:rPr>
        <w:t xml:space="preserve">It is significant that the Review’s Options Paper acknowledges the current industry has changed greatly over the past 10 years and now comprises two very distinct specialisations, being the Collections sector and the Field Agents sector.  </w:t>
      </w:r>
    </w:p>
    <w:p w:rsidR="00345E4D" w:rsidRDefault="00345E4D" w:rsidP="0007514D">
      <w:pPr>
        <w:spacing w:line="288" w:lineRule="auto"/>
        <w:rPr>
          <w:rFonts w:ascii="Arial" w:hAnsi="Arial" w:cs="Arial"/>
        </w:rPr>
      </w:pPr>
    </w:p>
    <w:p w:rsidR="00345E4D" w:rsidRDefault="00345E4D" w:rsidP="0007514D">
      <w:pPr>
        <w:spacing w:line="288" w:lineRule="auto"/>
        <w:rPr>
          <w:rFonts w:ascii="Arial" w:hAnsi="Arial" w:cs="Arial"/>
        </w:rPr>
      </w:pPr>
      <w:r>
        <w:rPr>
          <w:rFonts w:ascii="Arial" w:hAnsi="Arial" w:cs="Arial"/>
        </w:rPr>
        <w:t>Those specialisations have very different operational activities and considerations with an essential difference being the Collections sector is not involved in face-to-face contact with consumers whereas the Field Agents sector has actual face-to-face contact with consumers.</w:t>
      </w:r>
    </w:p>
    <w:p w:rsidR="00345E4D" w:rsidRDefault="00345E4D" w:rsidP="0007514D">
      <w:pPr>
        <w:spacing w:line="288" w:lineRule="auto"/>
        <w:rPr>
          <w:rFonts w:ascii="Arial" w:hAnsi="Arial" w:cs="Arial"/>
        </w:rPr>
      </w:pPr>
    </w:p>
    <w:p w:rsidR="00345E4D" w:rsidRDefault="00345E4D" w:rsidP="0007514D">
      <w:pPr>
        <w:spacing w:line="288" w:lineRule="auto"/>
        <w:rPr>
          <w:rFonts w:ascii="Arial" w:hAnsi="Arial" w:cs="Arial"/>
        </w:rPr>
      </w:pPr>
      <w:r>
        <w:rPr>
          <w:rFonts w:ascii="Arial" w:hAnsi="Arial" w:cs="Arial"/>
        </w:rPr>
        <w:t>The major players in the Collections sector are now public companies or owned by professional investors including financial service providers and private equity investors.</w:t>
      </w:r>
    </w:p>
    <w:p w:rsidR="00345E4D" w:rsidRDefault="00345E4D" w:rsidP="0007514D">
      <w:pPr>
        <w:spacing w:line="288" w:lineRule="auto"/>
        <w:rPr>
          <w:rFonts w:ascii="Arial" w:hAnsi="Arial" w:cs="Arial"/>
        </w:rPr>
      </w:pPr>
    </w:p>
    <w:p w:rsidR="00345E4D" w:rsidRDefault="00345E4D" w:rsidP="0007514D">
      <w:pPr>
        <w:spacing w:line="288" w:lineRule="auto"/>
        <w:rPr>
          <w:rFonts w:ascii="Arial" w:hAnsi="Arial" w:cs="Arial"/>
        </w:rPr>
      </w:pPr>
      <w:r>
        <w:rPr>
          <w:rFonts w:ascii="Arial" w:hAnsi="Arial" w:cs="Arial"/>
        </w:rPr>
        <w:t>Collectors act for government, commercial, utility and consumer debts with the work being undertaken either as contingent collections or debt purchase collections. The important distinction between the two is that in contingent collections, the collector is acting strictly on a "principal and agent" basis whereas in debt purchase collections, the rights to the outstanding debt have been assigned to the debt buyer.</w:t>
      </w:r>
    </w:p>
    <w:p w:rsidR="00345E4D" w:rsidRDefault="00345E4D" w:rsidP="0007514D">
      <w:pPr>
        <w:spacing w:line="288" w:lineRule="auto"/>
        <w:rPr>
          <w:rFonts w:ascii="Arial" w:hAnsi="Arial" w:cs="Arial"/>
        </w:rPr>
      </w:pPr>
    </w:p>
    <w:p w:rsidR="00345E4D" w:rsidRDefault="00345E4D" w:rsidP="0007514D">
      <w:pPr>
        <w:spacing w:line="288" w:lineRule="auto"/>
        <w:rPr>
          <w:rFonts w:ascii="Arial" w:hAnsi="Arial" w:cs="Arial"/>
        </w:rPr>
      </w:pPr>
      <w:r>
        <w:rPr>
          <w:rFonts w:ascii="Arial" w:hAnsi="Arial" w:cs="Arial"/>
        </w:rPr>
        <w:t>This distinction is very important as under "principal and agency" arrangements a contingent collector does not have the power or authority to address or resolve a consumer's issues with the creditor.  This essential fact obviates all rationale for requiring mandatory membership of contingency collectors to an ASIC approved external dispute resolution scheme.  Instead, in all contingent collections, a consumer aggrieved about a collector’s contact is always able to refer to a third party, the principal creditor.</w:t>
      </w:r>
    </w:p>
    <w:p w:rsidR="00345E4D" w:rsidRDefault="00345E4D" w:rsidP="0007514D">
      <w:pPr>
        <w:spacing w:line="288" w:lineRule="auto"/>
        <w:rPr>
          <w:rFonts w:ascii="Arial" w:hAnsi="Arial" w:cs="Arial"/>
        </w:rPr>
      </w:pPr>
      <w:r>
        <w:rPr>
          <w:rFonts w:ascii="Arial" w:hAnsi="Arial" w:cs="Arial"/>
        </w:rPr>
        <w:t>The task of eradicating current inconsistencies imposed by existing industry licensing which create unwarranted compliance complications and intrusions into commercial arrangements is long overdue in order to allow the important Collections sector to more efficiently perform given the value and impact it adds to the overall financial performance of the national, state and territory economies.</w:t>
      </w:r>
    </w:p>
    <w:p w:rsidR="00345E4D" w:rsidRDefault="00345E4D" w:rsidP="0007514D">
      <w:pPr>
        <w:spacing w:line="288" w:lineRule="auto"/>
        <w:rPr>
          <w:rFonts w:ascii="Arial" w:hAnsi="Arial" w:cs="Arial"/>
        </w:rPr>
      </w:pPr>
    </w:p>
    <w:p w:rsidR="00345E4D" w:rsidRDefault="00345E4D" w:rsidP="0052693F">
      <w:pPr>
        <w:rPr>
          <w:rFonts w:ascii="Arial" w:hAnsi="Arial" w:cs="Arial"/>
        </w:rPr>
      </w:pPr>
    </w:p>
    <w:p w:rsidR="00345E4D" w:rsidRDefault="00345E4D">
      <w:pPr>
        <w:jc w:val="left"/>
        <w:rPr>
          <w:rFonts w:ascii="Arial" w:hAnsi="Arial" w:cs="Arial"/>
        </w:rPr>
      </w:pPr>
      <w:r>
        <w:rPr>
          <w:rFonts w:ascii="Arial" w:hAnsi="Arial" w:cs="Arial"/>
        </w:rPr>
        <w:br w:type="page"/>
      </w:r>
    </w:p>
    <w:p w:rsidR="00345E4D" w:rsidRPr="00411141" w:rsidRDefault="00345E4D" w:rsidP="00153706">
      <w:pPr>
        <w:pStyle w:val="Heading1"/>
      </w:pPr>
      <w:bookmarkStart w:id="30" w:name="_Toc310510842"/>
      <w:r>
        <w:rPr>
          <w:rFonts w:cs="Arial"/>
        </w:rPr>
        <w:t>Annexure C</w:t>
      </w:r>
      <w:r>
        <w:rPr>
          <w:rFonts w:cs="Arial"/>
        </w:rPr>
        <w:tab/>
      </w:r>
      <w:r>
        <w:rPr>
          <w:rFonts w:cs="Arial"/>
        </w:rPr>
        <w:tab/>
      </w:r>
      <w:r w:rsidRPr="00411141">
        <w:t>C</w:t>
      </w:r>
      <w:r>
        <w:t>ollections Sector Profile</w:t>
      </w:r>
      <w:bookmarkEnd w:id="30"/>
    </w:p>
    <w:p w:rsidR="00345E4D" w:rsidRDefault="00345E4D" w:rsidP="00411141">
      <w:pPr>
        <w:spacing w:line="288" w:lineRule="auto"/>
        <w:rPr>
          <w:rFonts w:ascii="Arial" w:hAnsi="Arial" w:cs="Arial"/>
          <w:szCs w:val="22"/>
        </w:rPr>
      </w:pPr>
      <w:r w:rsidRPr="00AE0BEE">
        <w:rPr>
          <w:rFonts w:ascii="Arial" w:hAnsi="Arial" w:cs="Arial"/>
          <w:szCs w:val="22"/>
        </w:rPr>
        <w:t xml:space="preserve">For the purpose of understanding ACDBA’s preferences and reasons in relation to the various options proposed in the Options Paper it is appropriate to detail </w:t>
      </w:r>
      <w:r>
        <w:rPr>
          <w:rFonts w:ascii="Arial" w:hAnsi="Arial" w:cs="Arial"/>
          <w:szCs w:val="22"/>
        </w:rPr>
        <w:t xml:space="preserve">the </w:t>
      </w:r>
      <w:r w:rsidRPr="00AE0BEE">
        <w:rPr>
          <w:rFonts w:ascii="Arial" w:hAnsi="Arial" w:cs="Arial"/>
          <w:szCs w:val="22"/>
        </w:rPr>
        <w:t>current characteristics of the Collections sector:</w:t>
      </w:r>
    </w:p>
    <w:p w:rsidR="00345E4D" w:rsidRDefault="00345E4D" w:rsidP="00411141">
      <w:pPr>
        <w:spacing w:line="288" w:lineRule="auto"/>
        <w:rPr>
          <w:rFonts w:ascii="Arial" w:hAnsi="Arial" w:cs="Arial"/>
          <w:szCs w:val="22"/>
        </w:rPr>
      </w:pPr>
    </w:p>
    <w:p w:rsidR="00345E4D" w:rsidRPr="002F55FB" w:rsidRDefault="00345E4D" w:rsidP="002F55FB">
      <w:pPr>
        <w:pStyle w:val="Heading2"/>
      </w:pPr>
      <w:bookmarkStart w:id="31" w:name="_Toc310510843"/>
      <w:r w:rsidRPr="002F55FB">
        <w:t>Corporatisation</w:t>
      </w:r>
      <w:bookmarkEnd w:id="31"/>
    </w:p>
    <w:p w:rsidR="00345E4D" w:rsidRPr="00F35C34" w:rsidRDefault="00345E4D" w:rsidP="00411141">
      <w:pPr>
        <w:spacing w:line="288" w:lineRule="auto"/>
        <w:rPr>
          <w:rFonts w:ascii="Arial" w:hAnsi="Arial" w:cs="Arial"/>
          <w:szCs w:val="22"/>
        </w:rPr>
      </w:pPr>
      <w:r w:rsidRPr="00F35C34">
        <w:rPr>
          <w:rFonts w:ascii="Arial" w:hAnsi="Arial" w:cs="Arial"/>
          <w:szCs w:val="22"/>
        </w:rPr>
        <w:t>Debt collection activity across Australia has moved from being a niche back office activity to a fundamental aspect of most business models and a key driver in the profit performance of the Collections sector of the industry. Sophistication drove the development of outsourcing to the Collection</w:t>
      </w:r>
      <w:r>
        <w:rPr>
          <w:rFonts w:ascii="Arial" w:hAnsi="Arial" w:cs="Arial"/>
          <w:szCs w:val="22"/>
        </w:rPr>
        <w:t>s</w:t>
      </w:r>
      <w:r w:rsidRPr="00F35C34">
        <w:rPr>
          <w:rFonts w:ascii="Arial" w:hAnsi="Arial" w:cs="Arial"/>
          <w:szCs w:val="22"/>
        </w:rPr>
        <w:t xml:space="preserve"> sector greatly increasing volumes and values assigned to it – in turn, this brought mainstream investment and management practices into the sector, such that it has moved from entrepreneurial to professional over the past decade.</w:t>
      </w:r>
    </w:p>
    <w:p w:rsidR="00345E4D" w:rsidRPr="00AE0BEE" w:rsidRDefault="00345E4D" w:rsidP="00411141">
      <w:pPr>
        <w:spacing w:line="288" w:lineRule="auto"/>
        <w:rPr>
          <w:rFonts w:ascii="Arial" w:hAnsi="Arial" w:cs="Arial"/>
          <w:szCs w:val="22"/>
        </w:rPr>
      </w:pPr>
    </w:p>
    <w:p w:rsidR="00345E4D" w:rsidRPr="00F35C34" w:rsidRDefault="00345E4D" w:rsidP="00411141">
      <w:pPr>
        <w:spacing w:line="288" w:lineRule="auto"/>
        <w:rPr>
          <w:rFonts w:ascii="Arial" w:hAnsi="Arial" w:cs="Arial"/>
          <w:szCs w:val="22"/>
        </w:rPr>
      </w:pPr>
      <w:r w:rsidRPr="00F35C34">
        <w:rPr>
          <w:rFonts w:ascii="Arial" w:hAnsi="Arial" w:cs="Arial"/>
          <w:szCs w:val="22"/>
        </w:rPr>
        <w:t xml:space="preserve">Accompanying this influx of investment and expertise to the sector was the introduction of debt sale to the market just over 10 years ago. This development further attracted capital and has meant that most of the major players in the </w:t>
      </w:r>
      <w:r>
        <w:rPr>
          <w:rFonts w:ascii="Arial" w:hAnsi="Arial" w:cs="Arial"/>
          <w:szCs w:val="22"/>
        </w:rPr>
        <w:t>Collections sector</w:t>
      </w:r>
      <w:r w:rsidRPr="00F35C34">
        <w:rPr>
          <w:rFonts w:ascii="Arial" w:hAnsi="Arial" w:cs="Arial"/>
          <w:szCs w:val="22"/>
        </w:rPr>
        <w:t xml:space="preserve"> are now public companies or owned by professional investors including financial service providers and private equity investors.</w:t>
      </w:r>
    </w:p>
    <w:p w:rsidR="00345E4D" w:rsidRPr="00AE0BEE" w:rsidRDefault="00345E4D" w:rsidP="00411141">
      <w:pPr>
        <w:pStyle w:val="ListParagraph"/>
        <w:spacing w:line="288" w:lineRule="auto"/>
        <w:rPr>
          <w:rFonts w:ascii="Arial" w:hAnsi="Arial" w:cs="Arial"/>
          <w:szCs w:val="22"/>
        </w:rPr>
      </w:pPr>
    </w:p>
    <w:p w:rsidR="00345E4D" w:rsidRPr="00F35C34" w:rsidRDefault="00345E4D" w:rsidP="00411141">
      <w:pPr>
        <w:spacing w:line="288" w:lineRule="auto"/>
        <w:rPr>
          <w:rFonts w:ascii="Arial" w:hAnsi="Arial" w:cs="Arial"/>
          <w:szCs w:val="22"/>
        </w:rPr>
      </w:pPr>
      <w:r w:rsidRPr="00F35C34">
        <w:rPr>
          <w:rFonts w:ascii="Arial" w:hAnsi="Arial" w:cs="Arial"/>
          <w:szCs w:val="22"/>
        </w:rPr>
        <w:t>The specific fiduciary demands of independent directors and major corporations have meant collection methods, compliance structures and risk management st</w:t>
      </w:r>
      <w:r>
        <w:rPr>
          <w:rFonts w:ascii="Arial" w:hAnsi="Arial" w:cs="Arial"/>
          <w:szCs w:val="22"/>
        </w:rPr>
        <w:t>rategies are now fundamentally e</w:t>
      </w:r>
      <w:r w:rsidRPr="00F35C34">
        <w:rPr>
          <w:rFonts w:ascii="Arial" w:hAnsi="Arial" w:cs="Arial"/>
          <w:szCs w:val="22"/>
        </w:rPr>
        <w:t>mbedded with</w:t>
      </w:r>
      <w:r>
        <w:rPr>
          <w:rFonts w:ascii="Arial" w:hAnsi="Arial" w:cs="Arial"/>
          <w:szCs w:val="22"/>
        </w:rPr>
        <w:t>in</w:t>
      </w:r>
      <w:r w:rsidRPr="00F35C34">
        <w:rPr>
          <w:rFonts w:ascii="Arial" w:hAnsi="Arial" w:cs="Arial"/>
          <w:szCs w:val="22"/>
        </w:rPr>
        <w:t xml:space="preserve"> the organisations. Combined with the expectations of a more demanding market, Collection</w:t>
      </w:r>
      <w:r>
        <w:rPr>
          <w:rFonts w:ascii="Arial" w:hAnsi="Arial" w:cs="Arial"/>
          <w:szCs w:val="22"/>
        </w:rPr>
        <w:t>s</w:t>
      </w:r>
      <w:r w:rsidRPr="00F35C34">
        <w:rPr>
          <w:rFonts w:ascii="Arial" w:hAnsi="Arial" w:cs="Arial"/>
          <w:szCs w:val="22"/>
        </w:rPr>
        <w:t xml:space="preserve"> sector participants have had to improve their governance and compliance systems or lose the custom of the major vendors and suppliers.</w:t>
      </w:r>
    </w:p>
    <w:p w:rsidR="00345E4D" w:rsidRPr="00AE0BEE" w:rsidRDefault="00345E4D" w:rsidP="00411141">
      <w:pPr>
        <w:pStyle w:val="ListParagraph"/>
        <w:spacing w:line="288" w:lineRule="auto"/>
        <w:rPr>
          <w:rFonts w:ascii="Arial" w:hAnsi="Arial" w:cs="Arial"/>
          <w:szCs w:val="22"/>
        </w:rPr>
      </w:pPr>
    </w:p>
    <w:p w:rsidR="00345E4D" w:rsidRPr="00F35C34" w:rsidRDefault="00345E4D" w:rsidP="00411141">
      <w:pPr>
        <w:spacing w:line="288" w:lineRule="auto"/>
        <w:rPr>
          <w:rFonts w:ascii="Arial" w:hAnsi="Arial" w:cs="Arial"/>
          <w:szCs w:val="22"/>
        </w:rPr>
      </w:pPr>
      <w:r w:rsidRPr="00F35C34">
        <w:rPr>
          <w:rFonts w:ascii="Arial" w:hAnsi="Arial" w:cs="Arial"/>
          <w:szCs w:val="22"/>
        </w:rPr>
        <w:t>The debt collection/debt purchase functions of the sector are characterised by high volume telephone based activity completed from large call centres leveraging the latest contact technology and software.</w:t>
      </w:r>
    </w:p>
    <w:p w:rsidR="00345E4D"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szCs w:val="22"/>
        </w:rPr>
      </w:pPr>
      <w:r w:rsidRPr="009A4159">
        <w:rPr>
          <w:rFonts w:ascii="Arial" w:hAnsi="Arial" w:cs="Arial"/>
          <w:szCs w:val="22"/>
        </w:rPr>
        <w:t>The majority of ACDBA members are large corporations, some of which are listed on the Australian Stock Exchange and most work in multiple jurisdictions.</w:t>
      </w:r>
    </w:p>
    <w:p w:rsidR="00345E4D" w:rsidRDefault="00345E4D" w:rsidP="00411141">
      <w:pPr>
        <w:spacing w:line="288" w:lineRule="auto"/>
        <w:rPr>
          <w:rFonts w:ascii="Arial" w:hAnsi="Arial" w:cs="Arial"/>
          <w:szCs w:val="22"/>
        </w:rPr>
      </w:pPr>
    </w:p>
    <w:p w:rsidR="00345E4D" w:rsidRDefault="00345E4D" w:rsidP="00411141">
      <w:pPr>
        <w:pStyle w:val="Heading2"/>
      </w:pPr>
      <w:bookmarkStart w:id="32" w:name="_Toc310510844"/>
      <w:r w:rsidRPr="009A4159">
        <w:t xml:space="preserve">Adoption of </w:t>
      </w:r>
      <w:r>
        <w:t>T</w:t>
      </w:r>
      <w:r w:rsidRPr="009A4159">
        <w:t>echnology</w:t>
      </w:r>
      <w:bookmarkEnd w:id="32"/>
    </w:p>
    <w:p w:rsidR="00345E4D" w:rsidRPr="00146AA8" w:rsidRDefault="00345E4D" w:rsidP="00411141">
      <w:pPr>
        <w:spacing w:line="288" w:lineRule="auto"/>
        <w:rPr>
          <w:rFonts w:ascii="Arial" w:hAnsi="Arial" w:cs="Arial"/>
          <w:szCs w:val="22"/>
        </w:rPr>
      </w:pPr>
      <w:r w:rsidRPr="00146AA8">
        <w:rPr>
          <w:rFonts w:ascii="Arial" w:hAnsi="Arial" w:cs="Arial"/>
          <w:szCs w:val="22"/>
        </w:rPr>
        <w:t xml:space="preserve">The </w:t>
      </w:r>
      <w:r>
        <w:rPr>
          <w:rFonts w:ascii="Arial" w:hAnsi="Arial" w:cs="Arial"/>
          <w:szCs w:val="22"/>
        </w:rPr>
        <w:t xml:space="preserve">sector’s </w:t>
      </w:r>
      <w:r w:rsidRPr="00146AA8">
        <w:rPr>
          <w:rFonts w:ascii="Arial" w:hAnsi="Arial" w:cs="Arial"/>
          <w:szCs w:val="22"/>
        </w:rPr>
        <w:t>investment in technology has required very significant capital investment and has also contributed to the consolidation of the sector. Technology allows the delivery of services across multiple jurisdictions without the need for a physical presence in each jurisdiction.</w:t>
      </w:r>
    </w:p>
    <w:p w:rsidR="00345E4D" w:rsidRPr="00AE0BEE" w:rsidRDefault="00345E4D" w:rsidP="00411141">
      <w:pPr>
        <w:pStyle w:val="ListParagraph"/>
        <w:spacing w:line="288" w:lineRule="auto"/>
        <w:rPr>
          <w:rFonts w:ascii="Arial" w:hAnsi="Arial" w:cs="Arial"/>
          <w:szCs w:val="22"/>
        </w:rPr>
      </w:pPr>
    </w:p>
    <w:p w:rsidR="00345E4D" w:rsidRDefault="00345E4D" w:rsidP="00411141">
      <w:pPr>
        <w:spacing w:line="288" w:lineRule="auto"/>
        <w:rPr>
          <w:rFonts w:ascii="Arial" w:hAnsi="Arial" w:cs="Arial"/>
          <w:szCs w:val="22"/>
        </w:rPr>
      </w:pPr>
      <w:r w:rsidRPr="00146AA8">
        <w:rPr>
          <w:rFonts w:ascii="Arial" w:hAnsi="Arial" w:cs="Arial"/>
          <w:szCs w:val="22"/>
        </w:rPr>
        <w:t>Technology advances significantly contributing to change in the operations of the Collections sector include:</w:t>
      </w:r>
    </w:p>
    <w:p w:rsidR="00345E4D" w:rsidRPr="00146AA8" w:rsidRDefault="00345E4D" w:rsidP="00411141">
      <w:pPr>
        <w:spacing w:line="288" w:lineRule="auto"/>
        <w:rPr>
          <w:rFonts w:ascii="Arial" w:hAnsi="Arial" w:cs="Arial"/>
          <w:szCs w:val="22"/>
        </w:rPr>
      </w:pPr>
    </w:p>
    <w:p w:rsidR="00345E4D" w:rsidRPr="00AE0BEE" w:rsidRDefault="00345E4D" w:rsidP="00A913BF">
      <w:pPr>
        <w:pStyle w:val="ListParagraph"/>
        <w:numPr>
          <w:ilvl w:val="0"/>
          <w:numId w:val="5"/>
        </w:numPr>
        <w:spacing w:after="200" w:line="288" w:lineRule="auto"/>
        <w:rPr>
          <w:rFonts w:ascii="Arial" w:hAnsi="Arial" w:cs="Arial"/>
          <w:szCs w:val="22"/>
        </w:rPr>
      </w:pPr>
      <w:r w:rsidRPr="00AE0BEE">
        <w:rPr>
          <w:rFonts w:ascii="Arial" w:hAnsi="Arial" w:cs="Arial"/>
          <w:szCs w:val="22"/>
        </w:rPr>
        <w:t>Improvements to sector specific software leveraging off new technologies especially communications;</w:t>
      </w:r>
    </w:p>
    <w:p w:rsidR="00345E4D" w:rsidRPr="00AE0BEE" w:rsidRDefault="00345E4D" w:rsidP="00A913BF">
      <w:pPr>
        <w:pStyle w:val="ListParagraph"/>
        <w:numPr>
          <w:ilvl w:val="0"/>
          <w:numId w:val="5"/>
        </w:numPr>
        <w:spacing w:after="200" w:line="288" w:lineRule="auto"/>
        <w:rPr>
          <w:rFonts w:ascii="Arial" w:hAnsi="Arial" w:cs="Arial"/>
          <w:szCs w:val="22"/>
        </w:rPr>
      </w:pPr>
      <w:r w:rsidRPr="00AE0BEE">
        <w:rPr>
          <w:rFonts w:ascii="Arial" w:hAnsi="Arial" w:cs="Arial"/>
          <w:szCs w:val="22"/>
        </w:rPr>
        <w:t>Telephone call recording linked to sector specific software to verify collector and debtor communications and allow greater transparency in the event of any issue arising;</w:t>
      </w:r>
    </w:p>
    <w:p w:rsidR="00345E4D" w:rsidRPr="00AE0BEE" w:rsidRDefault="00345E4D" w:rsidP="00A913BF">
      <w:pPr>
        <w:pStyle w:val="ListParagraph"/>
        <w:numPr>
          <w:ilvl w:val="0"/>
          <w:numId w:val="5"/>
        </w:numPr>
        <w:spacing w:after="200" w:line="288" w:lineRule="auto"/>
        <w:rPr>
          <w:rFonts w:ascii="Arial" w:hAnsi="Arial" w:cs="Arial"/>
          <w:szCs w:val="22"/>
        </w:rPr>
      </w:pPr>
      <w:r w:rsidRPr="00AE0BEE">
        <w:rPr>
          <w:rFonts w:ascii="Arial" w:hAnsi="Arial" w:cs="Arial"/>
          <w:szCs w:val="22"/>
        </w:rPr>
        <w:t>Improvements to communications, including:</w:t>
      </w:r>
    </w:p>
    <w:p w:rsidR="00345E4D" w:rsidRPr="00AE0BEE" w:rsidRDefault="00345E4D" w:rsidP="005D7C22">
      <w:pPr>
        <w:pStyle w:val="ListParagraph"/>
        <w:numPr>
          <w:ilvl w:val="0"/>
          <w:numId w:val="6"/>
        </w:numPr>
        <w:spacing w:after="200" w:line="288" w:lineRule="auto"/>
        <w:ind w:left="1440"/>
        <w:rPr>
          <w:rFonts w:ascii="Arial" w:hAnsi="Arial" w:cs="Arial"/>
          <w:szCs w:val="22"/>
        </w:rPr>
      </w:pPr>
      <w:r w:rsidRPr="00AE0BEE">
        <w:rPr>
          <w:rFonts w:ascii="Arial" w:hAnsi="Arial" w:cs="Arial"/>
          <w:szCs w:val="22"/>
        </w:rPr>
        <w:t>Digital telephony;</w:t>
      </w:r>
    </w:p>
    <w:p w:rsidR="00345E4D" w:rsidRPr="00AE0BEE" w:rsidRDefault="00345E4D" w:rsidP="005D7C22">
      <w:pPr>
        <w:pStyle w:val="ListParagraph"/>
        <w:numPr>
          <w:ilvl w:val="0"/>
          <w:numId w:val="6"/>
        </w:numPr>
        <w:spacing w:after="200" w:line="288" w:lineRule="auto"/>
        <w:ind w:left="1440"/>
        <w:rPr>
          <w:rFonts w:ascii="Arial" w:hAnsi="Arial" w:cs="Arial"/>
          <w:szCs w:val="22"/>
        </w:rPr>
      </w:pPr>
      <w:r w:rsidRPr="00AE0BEE">
        <w:rPr>
          <w:rFonts w:ascii="Arial" w:hAnsi="Arial" w:cs="Arial"/>
          <w:szCs w:val="22"/>
        </w:rPr>
        <w:t>Improved broadband speed and reliability;</w:t>
      </w:r>
    </w:p>
    <w:p w:rsidR="00345E4D" w:rsidRPr="00AE0BEE" w:rsidRDefault="00345E4D" w:rsidP="005D7C22">
      <w:pPr>
        <w:pStyle w:val="ListParagraph"/>
        <w:numPr>
          <w:ilvl w:val="0"/>
          <w:numId w:val="6"/>
        </w:numPr>
        <w:spacing w:after="200" w:line="288" w:lineRule="auto"/>
        <w:ind w:left="1440"/>
        <w:rPr>
          <w:rFonts w:ascii="Arial" w:hAnsi="Arial" w:cs="Arial"/>
          <w:szCs w:val="22"/>
        </w:rPr>
      </w:pPr>
      <w:r w:rsidRPr="00AE0BEE">
        <w:rPr>
          <w:rFonts w:ascii="Arial" w:hAnsi="Arial" w:cs="Arial"/>
          <w:szCs w:val="22"/>
        </w:rPr>
        <w:t>Improved telephony systems supporting computerised answering, navigation and queuing;</w:t>
      </w:r>
    </w:p>
    <w:p w:rsidR="00345E4D" w:rsidRPr="00AE0BEE" w:rsidRDefault="00345E4D" w:rsidP="005D7C22">
      <w:pPr>
        <w:pStyle w:val="ListParagraph"/>
        <w:numPr>
          <w:ilvl w:val="0"/>
          <w:numId w:val="6"/>
        </w:numPr>
        <w:spacing w:after="200" w:line="288" w:lineRule="auto"/>
        <w:ind w:left="1440"/>
        <w:rPr>
          <w:rFonts w:ascii="Arial" w:hAnsi="Arial" w:cs="Arial"/>
          <w:szCs w:val="22"/>
        </w:rPr>
      </w:pPr>
      <w:r w:rsidRPr="00AE0BEE">
        <w:rPr>
          <w:rFonts w:ascii="Arial" w:hAnsi="Arial" w:cs="Arial"/>
          <w:szCs w:val="22"/>
        </w:rPr>
        <w:t>SMS messaging;</w:t>
      </w:r>
    </w:p>
    <w:p w:rsidR="00345E4D" w:rsidRPr="00AE0BEE" w:rsidRDefault="00345E4D" w:rsidP="005D7C22">
      <w:pPr>
        <w:pStyle w:val="ListParagraph"/>
        <w:numPr>
          <w:ilvl w:val="0"/>
          <w:numId w:val="19"/>
        </w:numPr>
        <w:spacing w:after="200" w:line="288" w:lineRule="auto"/>
        <w:ind w:left="1440"/>
        <w:rPr>
          <w:rFonts w:ascii="Arial" w:hAnsi="Arial" w:cs="Arial"/>
          <w:szCs w:val="22"/>
        </w:rPr>
      </w:pPr>
      <w:r w:rsidRPr="00AE0BEE">
        <w:rPr>
          <w:rFonts w:ascii="Arial" w:hAnsi="Arial" w:cs="Arial"/>
          <w:szCs w:val="22"/>
        </w:rPr>
        <w:t>Customer Information Management technology to manage blended voice, email and web-based communications to improve efficiency of collectors by:</w:t>
      </w:r>
    </w:p>
    <w:p w:rsidR="00345E4D" w:rsidRPr="00AE0BEE" w:rsidRDefault="00345E4D" w:rsidP="005D7C22">
      <w:pPr>
        <w:pStyle w:val="ListParagraph"/>
        <w:numPr>
          <w:ilvl w:val="0"/>
          <w:numId w:val="2"/>
        </w:numPr>
        <w:spacing w:after="200" w:line="288" w:lineRule="auto"/>
        <w:ind w:left="1800"/>
        <w:rPr>
          <w:rFonts w:ascii="Arial" w:hAnsi="Arial" w:cs="Arial"/>
          <w:szCs w:val="22"/>
        </w:rPr>
      </w:pPr>
      <w:r w:rsidRPr="00AE0BEE">
        <w:rPr>
          <w:rFonts w:ascii="Arial" w:hAnsi="Arial" w:cs="Arial"/>
          <w:szCs w:val="22"/>
        </w:rPr>
        <w:t xml:space="preserve">Automated dialling to eliminate manual repetitive dialling tasks; </w:t>
      </w:r>
    </w:p>
    <w:p w:rsidR="00345E4D" w:rsidRPr="00AE0BEE" w:rsidRDefault="00345E4D" w:rsidP="005D7C22">
      <w:pPr>
        <w:pStyle w:val="ListParagraph"/>
        <w:numPr>
          <w:ilvl w:val="0"/>
          <w:numId w:val="2"/>
        </w:numPr>
        <w:spacing w:after="200" w:line="288" w:lineRule="auto"/>
        <w:ind w:left="1800"/>
        <w:rPr>
          <w:rFonts w:ascii="Arial" w:hAnsi="Arial" w:cs="Arial"/>
          <w:szCs w:val="22"/>
        </w:rPr>
      </w:pPr>
      <w:r w:rsidRPr="00AE0BEE">
        <w:rPr>
          <w:rFonts w:ascii="Arial" w:hAnsi="Arial" w:cs="Arial"/>
          <w:szCs w:val="22"/>
        </w:rPr>
        <w:t>Allowing the proving of a telephone number;</w:t>
      </w:r>
    </w:p>
    <w:p w:rsidR="00345E4D" w:rsidRPr="00AE0BEE" w:rsidRDefault="00345E4D" w:rsidP="005D7C22">
      <w:pPr>
        <w:pStyle w:val="ListParagraph"/>
        <w:numPr>
          <w:ilvl w:val="0"/>
          <w:numId w:val="2"/>
        </w:numPr>
        <w:spacing w:after="200" w:line="288" w:lineRule="auto"/>
        <w:ind w:left="1800"/>
        <w:rPr>
          <w:rFonts w:ascii="Arial" w:hAnsi="Arial" w:cs="Arial"/>
          <w:szCs w:val="22"/>
        </w:rPr>
      </w:pPr>
      <w:r w:rsidRPr="00AE0BEE">
        <w:rPr>
          <w:rFonts w:ascii="Arial" w:hAnsi="Arial" w:cs="Arial"/>
          <w:szCs w:val="22"/>
        </w:rPr>
        <w:t>Facilitating the ability to conduct conference calls between a debtor and his/her appointed third party;</w:t>
      </w:r>
    </w:p>
    <w:p w:rsidR="00345E4D" w:rsidRPr="00AE0BEE" w:rsidRDefault="00345E4D" w:rsidP="005D7C22">
      <w:pPr>
        <w:pStyle w:val="ListParagraph"/>
        <w:numPr>
          <w:ilvl w:val="0"/>
          <w:numId w:val="2"/>
        </w:numPr>
        <w:spacing w:after="200" w:line="288" w:lineRule="auto"/>
        <w:ind w:left="1800"/>
        <w:rPr>
          <w:rFonts w:ascii="Arial" w:hAnsi="Arial" w:cs="Arial"/>
          <w:szCs w:val="22"/>
        </w:rPr>
      </w:pPr>
      <w:r w:rsidRPr="00AE0BEE">
        <w:rPr>
          <w:rFonts w:ascii="Arial" w:hAnsi="Arial" w:cs="Arial"/>
          <w:szCs w:val="22"/>
        </w:rPr>
        <w:t>Ensuring a correct first party or third party contact;</w:t>
      </w:r>
    </w:p>
    <w:p w:rsidR="00345E4D" w:rsidRPr="00AE0BEE" w:rsidRDefault="00345E4D" w:rsidP="005D7C22">
      <w:pPr>
        <w:pStyle w:val="ListParagraph"/>
        <w:numPr>
          <w:ilvl w:val="0"/>
          <w:numId w:val="2"/>
        </w:numPr>
        <w:spacing w:after="200" w:line="288" w:lineRule="auto"/>
        <w:ind w:left="1800"/>
        <w:rPr>
          <w:rFonts w:ascii="Arial" w:hAnsi="Arial" w:cs="Arial"/>
          <w:szCs w:val="22"/>
        </w:rPr>
      </w:pPr>
      <w:r w:rsidRPr="00AE0BEE">
        <w:rPr>
          <w:rFonts w:ascii="Arial" w:hAnsi="Arial" w:cs="Arial"/>
          <w:szCs w:val="22"/>
        </w:rPr>
        <w:t>The system allowing the debtor to self-navigate the call to:</w:t>
      </w:r>
      <w:r w:rsidRPr="00AE0BEE">
        <w:rPr>
          <w:rFonts w:ascii="Arial" w:hAnsi="Arial" w:cs="Arial"/>
          <w:szCs w:val="22"/>
        </w:rPr>
        <w:tab/>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a professional credit consultant/collector;</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a cashier if it is a payment;</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a disputes negotiator if a dispute; or</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a help assistant for other needs.</w:t>
      </w:r>
    </w:p>
    <w:p w:rsidR="00345E4D" w:rsidRPr="00AE0BEE" w:rsidRDefault="00345E4D" w:rsidP="005D7C22">
      <w:pPr>
        <w:pStyle w:val="ListParagraph"/>
        <w:numPr>
          <w:ilvl w:val="0"/>
          <w:numId w:val="6"/>
        </w:numPr>
        <w:spacing w:after="200" w:line="288" w:lineRule="auto"/>
        <w:ind w:left="1440"/>
        <w:rPr>
          <w:rFonts w:ascii="Arial" w:hAnsi="Arial" w:cs="Arial"/>
          <w:szCs w:val="22"/>
        </w:rPr>
      </w:pPr>
      <w:r w:rsidRPr="00AE0BEE">
        <w:rPr>
          <w:rFonts w:ascii="Arial" w:hAnsi="Arial" w:cs="Arial"/>
          <w:szCs w:val="22"/>
        </w:rPr>
        <w:t>Online portals allowing:</w:t>
      </w:r>
    </w:p>
    <w:p w:rsidR="00345E4D" w:rsidRPr="00AE0BEE" w:rsidRDefault="00345E4D" w:rsidP="005D7C22">
      <w:pPr>
        <w:pStyle w:val="ListParagraph"/>
        <w:numPr>
          <w:ilvl w:val="0"/>
          <w:numId w:val="2"/>
        </w:numPr>
        <w:spacing w:after="200" w:line="288" w:lineRule="auto"/>
        <w:ind w:left="1800"/>
        <w:rPr>
          <w:rFonts w:ascii="Arial" w:hAnsi="Arial" w:cs="Arial"/>
          <w:szCs w:val="22"/>
        </w:rPr>
      </w:pPr>
      <w:r w:rsidRPr="00AE0BEE">
        <w:rPr>
          <w:rFonts w:ascii="Arial" w:hAnsi="Arial" w:cs="Arial"/>
          <w:szCs w:val="22"/>
        </w:rPr>
        <w:t>Clients to independently access their account information including adding new matters and receiving reports securely;</w:t>
      </w:r>
    </w:p>
    <w:p w:rsidR="00345E4D" w:rsidRPr="00AE0BEE" w:rsidRDefault="00345E4D" w:rsidP="005D7C22">
      <w:pPr>
        <w:pStyle w:val="ListParagraph"/>
        <w:numPr>
          <w:ilvl w:val="0"/>
          <w:numId w:val="2"/>
        </w:numPr>
        <w:spacing w:after="200" w:line="288" w:lineRule="auto"/>
        <w:ind w:left="1800"/>
        <w:rPr>
          <w:rFonts w:ascii="Arial" w:hAnsi="Arial" w:cs="Arial"/>
          <w:szCs w:val="22"/>
        </w:rPr>
      </w:pPr>
      <w:r w:rsidRPr="00AE0BEE">
        <w:rPr>
          <w:rFonts w:ascii="Arial" w:hAnsi="Arial" w:cs="Arial"/>
          <w:szCs w:val="22"/>
        </w:rPr>
        <w:t>Debtors to access their account to:</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attend to repayments;</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seek verification of the account being due;</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approve the use of SMS and email messages on the account;</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complete and submit a financial statement of position;</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complete, submit and receive adoption of a repayment plan;</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complete, submit and implement a “Hardship Application“;</w:t>
      </w:r>
    </w:p>
    <w:p w:rsidR="00345E4D" w:rsidRPr="00AE0BEE" w:rsidRDefault="00345E4D" w:rsidP="005D7C22">
      <w:pPr>
        <w:pStyle w:val="ListParagraph"/>
        <w:numPr>
          <w:ilvl w:val="2"/>
          <w:numId w:val="3"/>
        </w:numPr>
        <w:spacing w:after="200" w:line="288" w:lineRule="auto"/>
        <w:ind w:left="2628" w:hanging="425"/>
        <w:rPr>
          <w:rFonts w:ascii="Arial" w:hAnsi="Arial" w:cs="Arial"/>
          <w:szCs w:val="22"/>
        </w:rPr>
      </w:pPr>
      <w:r w:rsidRPr="00AE0BEE">
        <w:rPr>
          <w:rFonts w:ascii="Arial" w:hAnsi="Arial" w:cs="Arial"/>
          <w:szCs w:val="22"/>
        </w:rPr>
        <w:t>message the collector; and</w:t>
      </w:r>
    </w:p>
    <w:p w:rsidR="00345E4D" w:rsidRPr="00AE0BEE" w:rsidRDefault="00345E4D" w:rsidP="005D7C22">
      <w:pPr>
        <w:pStyle w:val="ListParagraph"/>
        <w:numPr>
          <w:ilvl w:val="0"/>
          <w:numId w:val="2"/>
        </w:numPr>
        <w:spacing w:after="200" w:line="288" w:lineRule="auto"/>
        <w:ind w:left="1800"/>
        <w:rPr>
          <w:rFonts w:ascii="Arial" w:hAnsi="Arial" w:cs="Arial"/>
          <w:szCs w:val="22"/>
        </w:rPr>
      </w:pPr>
      <w:r w:rsidRPr="00AE0BEE">
        <w:rPr>
          <w:rFonts w:ascii="Arial" w:hAnsi="Arial" w:cs="Arial"/>
          <w:szCs w:val="22"/>
        </w:rPr>
        <w:t>Agents to work remotely to deliver services.</w:t>
      </w:r>
    </w:p>
    <w:p w:rsidR="00345E4D" w:rsidRPr="00AE0BEE" w:rsidRDefault="00345E4D" w:rsidP="005D7C22">
      <w:pPr>
        <w:pStyle w:val="ListParagraph"/>
        <w:numPr>
          <w:ilvl w:val="0"/>
          <w:numId w:val="4"/>
        </w:numPr>
        <w:spacing w:after="200" w:line="288" w:lineRule="auto"/>
        <w:ind w:left="1440"/>
        <w:rPr>
          <w:rFonts w:ascii="Arial" w:hAnsi="Arial" w:cs="Arial"/>
          <w:szCs w:val="22"/>
        </w:rPr>
      </w:pPr>
      <w:r w:rsidRPr="00AE0BEE">
        <w:rPr>
          <w:rFonts w:ascii="Arial" w:hAnsi="Arial" w:cs="Arial"/>
          <w:szCs w:val="22"/>
        </w:rPr>
        <w:t>Improved secure data transfer technology; and</w:t>
      </w:r>
    </w:p>
    <w:p w:rsidR="00345E4D" w:rsidRPr="00AE0BEE" w:rsidRDefault="00345E4D" w:rsidP="005D7C22">
      <w:pPr>
        <w:pStyle w:val="ListParagraph"/>
        <w:numPr>
          <w:ilvl w:val="0"/>
          <w:numId w:val="4"/>
        </w:numPr>
        <w:spacing w:after="200" w:line="288" w:lineRule="auto"/>
        <w:ind w:left="1440"/>
        <w:rPr>
          <w:rFonts w:ascii="Arial" w:hAnsi="Arial" w:cs="Arial"/>
          <w:szCs w:val="22"/>
        </w:rPr>
      </w:pPr>
      <w:r w:rsidRPr="00AE0BEE">
        <w:rPr>
          <w:rFonts w:ascii="Arial" w:hAnsi="Arial" w:cs="Arial"/>
          <w:szCs w:val="22"/>
        </w:rPr>
        <w:t>Improved auto payment systems.</w:t>
      </w:r>
    </w:p>
    <w:p w:rsidR="00345E4D" w:rsidRDefault="00345E4D" w:rsidP="00411141">
      <w:pPr>
        <w:pStyle w:val="Heading2"/>
      </w:pPr>
      <w:bookmarkStart w:id="33" w:name="_Toc310510845"/>
      <w:r w:rsidRPr="009A4159">
        <w:t xml:space="preserve">Compliance </w:t>
      </w:r>
      <w:r>
        <w:t>O</w:t>
      </w:r>
      <w:r w:rsidRPr="009A4159">
        <w:t>bligations</w:t>
      </w:r>
      <w:bookmarkEnd w:id="33"/>
    </w:p>
    <w:p w:rsidR="00345E4D" w:rsidRPr="00905872" w:rsidRDefault="00345E4D" w:rsidP="00411141">
      <w:pPr>
        <w:spacing w:line="288" w:lineRule="auto"/>
        <w:rPr>
          <w:rFonts w:ascii="Arial" w:hAnsi="Arial" w:cs="Arial"/>
          <w:sz w:val="24"/>
        </w:rPr>
      </w:pPr>
      <w:r w:rsidRPr="00905872">
        <w:rPr>
          <w:rFonts w:ascii="Arial" w:hAnsi="Arial" w:cs="Arial"/>
          <w:szCs w:val="22"/>
        </w:rPr>
        <w:t xml:space="preserve">Compliance obligations for the </w:t>
      </w:r>
      <w:r>
        <w:rPr>
          <w:rFonts w:ascii="Arial" w:hAnsi="Arial" w:cs="Arial"/>
          <w:szCs w:val="22"/>
        </w:rPr>
        <w:t>Collections sector have</w:t>
      </w:r>
      <w:r w:rsidRPr="00905872">
        <w:rPr>
          <w:rFonts w:ascii="Arial" w:hAnsi="Arial" w:cs="Arial"/>
          <w:szCs w:val="22"/>
        </w:rPr>
        <w:t xml:space="preserve"> increased significantly over the years although some outside the sector </w:t>
      </w:r>
      <w:r>
        <w:rPr>
          <w:rFonts w:ascii="Arial" w:hAnsi="Arial" w:cs="Arial"/>
          <w:szCs w:val="22"/>
        </w:rPr>
        <w:t>may well</w:t>
      </w:r>
      <w:r w:rsidRPr="00905872">
        <w:rPr>
          <w:rFonts w:ascii="Arial" w:hAnsi="Arial" w:cs="Arial"/>
          <w:szCs w:val="22"/>
        </w:rPr>
        <w:t xml:space="preserve"> be unaware of the actual reach of </w:t>
      </w:r>
      <w:r>
        <w:rPr>
          <w:rFonts w:ascii="Arial" w:hAnsi="Arial" w:cs="Arial"/>
          <w:szCs w:val="22"/>
        </w:rPr>
        <w:t xml:space="preserve">obligations imposed </w:t>
      </w:r>
      <w:r w:rsidRPr="00905872">
        <w:rPr>
          <w:rFonts w:ascii="Arial" w:hAnsi="Arial" w:cs="Arial"/>
          <w:szCs w:val="22"/>
        </w:rPr>
        <w:t xml:space="preserve">or of the significant level of duplication and conflict across state and national jurisdictions.   Currently, the sector </w:t>
      </w:r>
      <w:r>
        <w:rPr>
          <w:rFonts w:ascii="Arial" w:hAnsi="Arial" w:cs="Arial"/>
          <w:szCs w:val="22"/>
        </w:rPr>
        <w:t xml:space="preserve">has </w:t>
      </w:r>
      <w:r w:rsidRPr="00905872">
        <w:rPr>
          <w:rFonts w:ascii="Arial" w:hAnsi="Arial" w:cs="Arial"/>
          <w:szCs w:val="22"/>
        </w:rPr>
        <w:t xml:space="preserve">compliance obligations which include: </w:t>
      </w:r>
    </w:p>
    <w:p w:rsidR="00345E4D" w:rsidRPr="00AE0BEE" w:rsidRDefault="00345E4D" w:rsidP="00411141">
      <w:pPr>
        <w:pStyle w:val="ListParagraph"/>
        <w:spacing w:line="288" w:lineRule="auto"/>
        <w:rPr>
          <w:rFonts w:ascii="Arial" w:hAnsi="Arial" w:cs="Arial"/>
          <w:sz w:val="24"/>
        </w:rPr>
      </w:pPr>
    </w:p>
    <w:p w:rsidR="00345E4D" w:rsidRPr="00AE0BEE" w:rsidRDefault="00345E4D" w:rsidP="00A913BF">
      <w:pPr>
        <w:pStyle w:val="ListParagraph"/>
        <w:numPr>
          <w:ilvl w:val="0"/>
          <w:numId w:val="5"/>
        </w:numPr>
        <w:spacing w:after="200" w:line="288" w:lineRule="auto"/>
        <w:ind w:left="720"/>
        <w:rPr>
          <w:rFonts w:ascii="Arial" w:hAnsi="Arial" w:cs="Arial"/>
          <w:szCs w:val="22"/>
        </w:rPr>
      </w:pPr>
      <w:r w:rsidRPr="00AE0BEE">
        <w:rPr>
          <w:rFonts w:ascii="Arial" w:hAnsi="Arial" w:cs="Arial"/>
          <w:szCs w:val="22"/>
        </w:rPr>
        <w:t xml:space="preserve">The </w:t>
      </w:r>
      <w:r>
        <w:rPr>
          <w:rFonts w:ascii="Arial" w:hAnsi="Arial" w:cs="Arial"/>
          <w:szCs w:val="22"/>
        </w:rPr>
        <w:t xml:space="preserve">ACCC/ASIC </w:t>
      </w:r>
      <w:r w:rsidRPr="00AE0BEE">
        <w:rPr>
          <w:rFonts w:ascii="Arial" w:hAnsi="Arial" w:cs="Arial"/>
          <w:szCs w:val="22"/>
        </w:rPr>
        <w:t>Debt Collection Guideline (</w:t>
      </w:r>
      <w:r>
        <w:rPr>
          <w:rFonts w:ascii="Arial" w:hAnsi="Arial" w:cs="Arial"/>
          <w:szCs w:val="22"/>
        </w:rPr>
        <w:t>t</w:t>
      </w:r>
      <w:r w:rsidRPr="00AE0BEE">
        <w:rPr>
          <w:rFonts w:ascii="Arial" w:hAnsi="Arial" w:cs="Arial"/>
          <w:szCs w:val="22"/>
        </w:rPr>
        <w:t>he Guideline) and the Consumer Affairs Victoria Guidelines</w:t>
      </w:r>
      <w:r>
        <w:rPr>
          <w:rFonts w:ascii="Arial" w:hAnsi="Arial" w:cs="Arial"/>
          <w:szCs w:val="22"/>
        </w:rPr>
        <w:t xml:space="preserve"> for Debt Collection (t</w:t>
      </w:r>
      <w:r w:rsidRPr="00AE0BEE">
        <w:rPr>
          <w:rFonts w:ascii="Arial" w:hAnsi="Arial" w:cs="Arial"/>
          <w:szCs w:val="22"/>
        </w:rPr>
        <w:t>he CAV Guidelines) both of which provide the industry with clear guidances on appropriate debt collection practices.</w:t>
      </w:r>
    </w:p>
    <w:p w:rsidR="00345E4D" w:rsidRDefault="00345E4D" w:rsidP="00411141">
      <w:pPr>
        <w:pStyle w:val="ListParagraph"/>
        <w:spacing w:after="200" w:line="288" w:lineRule="auto"/>
        <w:rPr>
          <w:rFonts w:ascii="Arial" w:hAnsi="Arial" w:cs="Arial"/>
          <w:szCs w:val="22"/>
        </w:rPr>
      </w:pPr>
      <w:r w:rsidRPr="00AE0BEE">
        <w:rPr>
          <w:rFonts w:ascii="Arial" w:hAnsi="Arial" w:cs="Arial"/>
          <w:szCs w:val="22"/>
        </w:rPr>
        <w:t>Some observers wrongly downplay the effectiveness of the Guideline on the contention it is guidance only and does not have the same effect as “black letter” law.  However, the sector regards such contentions are unfounded as:</w:t>
      </w:r>
    </w:p>
    <w:p w:rsidR="00345E4D" w:rsidRPr="00AE0BEE" w:rsidRDefault="00345E4D" w:rsidP="00411141">
      <w:pPr>
        <w:pStyle w:val="ListParagraph"/>
        <w:spacing w:after="200" w:line="288" w:lineRule="auto"/>
        <w:rPr>
          <w:rFonts w:ascii="Arial" w:hAnsi="Arial" w:cs="Arial"/>
          <w:szCs w:val="22"/>
        </w:rPr>
      </w:pPr>
    </w:p>
    <w:p w:rsidR="00345E4D" w:rsidRPr="00AE0BEE" w:rsidRDefault="00345E4D" w:rsidP="00A913BF">
      <w:pPr>
        <w:pStyle w:val="ListParagraph"/>
        <w:numPr>
          <w:ilvl w:val="0"/>
          <w:numId w:val="7"/>
        </w:numPr>
        <w:spacing w:after="200" w:line="288" w:lineRule="auto"/>
        <w:ind w:left="1080"/>
        <w:rPr>
          <w:rFonts w:ascii="Arial" w:hAnsi="Arial" w:cs="Arial"/>
          <w:szCs w:val="22"/>
        </w:rPr>
      </w:pPr>
      <w:r w:rsidRPr="00AE0BEE">
        <w:rPr>
          <w:rFonts w:ascii="Arial" w:hAnsi="Arial" w:cs="Arial"/>
          <w:szCs w:val="22"/>
        </w:rPr>
        <w:t>Compliance with the Guideline is usually part of the contractual agreement between sector members and their clients; and</w:t>
      </w:r>
    </w:p>
    <w:p w:rsidR="00345E4D" w:rsidRPr="00AE0BEE" w:rsidRDefault="00345E4D" w:rsidP="00A913BF">
      <w:pPr>
        <w:pStyle w:val="ListParagraph"/>
        <w:numPr>
          <w:ilvl w:val="0"/>
          <w:numId w:val="7"/>
        </w:numPr>
        <w:spacing w:after="200" w:line="288" w:lineRule="auto"/>
        <w:ind w:left="1080"/>
        <w:rPr>
          <w:rFonts w:ascii="Arial" w:hAnsi="Arial" w:cs="Arial"/>
          <w:szCs w:val="22"/>
        </w:rPr>
      </w:pPr>
      <w:r>
        <w:rPr>
          <w:rFonts w:ascii="Arial" w:hAnsi="Arial" w:cs="Arial"/>
          <w:szCs w:val="22"/>
        </w:rPr>
        <w:t>Compliance with the G</w:t>
      </w:r>
      <w:r w:rsidRPr="00AE0BEE">
        <w:rPr>
          <w:rFonts w:ascii="Arial" w:hAnsi="Arial" w:cs="Arial"/>
          <w:szCs w:val="22"/>
        </w:rPr>
        <w:t xml:space="preserve">uideline routinely provides the framework </w:t>
      </w:r>
      <w:r>
        <w:rPr>
          <w:rFonts w:ascii="Arial" w:hAnsi="Arial" w:cs="Arial"/>
          <w:szCs w:val="22"/>
        </w:rPr>
        <w:t>o</w:t>
      </w:r>
      <w:r w:rsidRPr="00AE0BEE">
        <w:rPr>
          <w:rFonts w:ascii="Arial" w:hAnsi="Arial" w:cs="Arial"/>
          <w:szCs w:val="22"/>
        </w:rPr>
        <w:t>n which members base all their collection activities with debtors.</w:t>
      </w:r>
    </w:p>
    <w:p w:rsidR="00345E4D" w:rsidRPr="00905872" w:rsidRDefault="00345E4D" w:rsidP="00411141">
      <w:pPr>
        <w:spacing w:after="200" w:line="288" w:lineRule="auto"/>
        <w:ind w:left="720"/>
        <w:rPr>
          <w:rFonts w:ascii="Arial" w:hAnsi="Arial" w:cs="Arial"/>
          <w:szCs w:val="22"/>
        </w:rPr>
      </w:pPr>
      <w:r>
        <w:rPr>
          <w:rFonts w:ascii="Arial" w:hAnsi="Arial" w:cs="Arial"/>
          <w:szCs w:val="22"/>
        </w:rPr>
        <w:t xml:space="preserve">The </w:t>
      </w:r>
      <w:r w:rsidRPr="00905872">
        <w:rPr>
          <w:rFonts w:ascii="Arial" w:hAnsi="Arial" w:cs="Arial"/>
          <w:szCs w:val="22"/>
        </w:rPr>
        <w:t xml:space="preserve">ACCC and ASIC both have extensive regulatory powers which allow them to access company sites and files, review activity and compliance systems and negotiate enforceable undertakings or seek penalties or incarceration through the courts.  </w:t>
      </w:r>
    </w:p>
    <w:p w:rsidR="00345E4D" w:rsidRPr="00905872" w:rsidRDefault="00345E4D" w:rsidP="00411141">
      <w:pPr>
        <w:spacing w:after="200" w:line="276" w:lineRule="auto"/>
        <w:ind w:left="720"/>
        <w:rPr>
          <w:rFonts w:ascii="Arial" w:hAnsi="Arial" w:cs="Arial"/>
          <w:szCs w:val="22"/>
        </w:rPr>
      </w:pPr>
      <w:r w:rsidRPr="00AE0BEE">
        <w:rPr>
          <w:rFonts w:ascii="Arial" w:hAnsi="Arial" w:cs="Arial"/>
          <w:szCs w:val="22"/>
        </w:rPr>
        <w:t xml:space="preserve">The impact of these powers is that the sector </w:t>
      </w:r>
      <w:r>
        <w:rPr>
          <w:rFonts w:ascii="Arial" w:hAnsi="Arial" w:cs="Arial"/>
          <w:szCs w:val="22"/>
        </w:rPr>
        <w:t>actually</w:t>
      </w:r>
      <w:r w:rsidRPr="00AE0BEE">
        <w:rPr>
          <w:rFonts w:ascii="Arial" w:hAnsi="Arial" w:cs="Arial"/>
          <w:szCs w:val="22"/>
        </w:rPr>
        <w:t xml:space="preserve"> treats its obligations under these guidelines as law and structures its compliance systems with the </w:t>
      </w:r>
      <w:r>
        <w:rPr>
          <w:rFonts w:ascii="Arial" w:hAnsi="Arial" w:cs="Arial"/>
          <w:szCs w:val="22"/>
        </w:rPr>
        <w:t>Guideline</w:t>
      </w:r>
      <w:r w:rsidRPr="00AE0BEE">
        <w:rPr>
          <w:rFonts w:ascii="Arial" w:hAnsi="Arial" w:cs="Arial"/>
          <w:szCs w:val="22"/>
        </w:rPr>
        <w:t xml:space="preserve"> at the centre.</w:t>
      </w:r>
    </w:p>
    <w:p w:rsidR="00345E4D" w:rsidRPr="00F35C34" w:rsidRDefault="00345E4D" w:rsidP="00A913BF">
      <w:pPr>
        <w:pStyle w:val="ListParagraph"/>
        <w:numPr>
          <w:ilvl w:val="0"/>
          <w:numId w:val="5"/>
        </w:numPr>
        <w:spacing w:after="200" w:line="288" w:lineRule="auto"/>
        <w:ind w:left="720"/>
        <w:rPr>
          <w:rFonts w:ascii="Arial" w:hAnsi="Arial" w:cs="Arial"/>
          <w:szCs w:val="22"/>
        </w:rPr>
      </w:pPr>
      <w:r w:rsidRPr="00F35C34">
        <w:rPr>
          <w:rFonts w:ascii="Arial" w:hAnsi="Arial" w:cs="Arial"/>
          <w:szCs w:val="22"/>
        </w:rPr>
        <w:t xml:space="preserve">The sector works under a variety of State and Territory industry regulation depending upon where offices are located.  </w:t>
      </w:r>
    </w:p>
    <w:p w:rsidR="00345E4D" w:rsidRPr="00F35C34" w:rsidRDefault="00345E4D" w:rsidP="00411141">
      <w:pPr>
        <w:pStyle w:val="ListParagraph"/>
        <w:spacing w:after="200" w:line="288" w:lineRule="auto"/>
        <w:rPr>
          <w:rFonts w:ascii="Arial" w:hAnsi="Arial" w:cs="Arial"/>
          <w:szCs w:val="22"/>
        </w:rPr>
      </w:pPr>
    </w:p>
    <w:p w:rsidR="00345E4D" w:rsidRPr="00F35C34" w:rsidRDefault="00345E4D" w:rsidP="00A913BF">
      <w:pPr>
        <w:pStyle w:val="ListParagraph"/>
        <w:numPr>
          <w:ilvl w:val="0"/>
          <w:numId w:val="5"/>
        </w:numPr>
        <w:spacing w:after="200" w:line="288" w:lineRule="auto"/>
        <w:ind w:left="720"/>
        <w:rPr>
          <w:rFonts w:ascii="Arial" w:hAnsi="Arial" w:cs="Arial"/>
          <w:szCs w:val="22"/>
        </w:rPr>
      </w:pPr>
      <w:r w:rsidRPr="00F35C34">
        <w:rPr>
          <w:rFonts w:ascii="Arial" w:hAnsi="Arial" w:cs="Arial"/>
          <w:szCs w:val="22"/>
        </w:rPr>
        <w:t xml:space="preserve">The Queensland Property Agents and Motor Dealers Act 2000 (PAMDA) under S348 and specifically under the Queensland Property Agents and Motor Dealers (Commercial Agency Practice Code of Conduct) Regulation 2001 provides a Code of Conduct for Commercial Agents in that State. </w:t>
      </w:r>
    </w:p>
    <w:p w:rsidR="00345E4D" w:rsidRPr="00F35C34" w:rsidRDefault="00345E4D" w:rsidP="00411141">
      <w:pPr>
        <w:pStyle w:val="ListParagraph"/>
        <w:spacing w:after="200" w:line="288" w:lineRule="auto"/>
        <w:rPr>
          <w:rFonts w:ascii="Arial" w:hAnsi="Arial" w:cs="Arial"/>
          <w:szCs w:val="22"/>
        </w:rPr>
      </w:pPr>
    </w:p>
    <w:p w:rsidR="00345E4D" w:rsidRPr="00F35C34" w:rsidRDefault="00345E4D" w:rsidP="00411141">
      <w:pPr>
        <w:pStyle w:val="ListParagraph"/>
        <w:spacing w:after="200" w:line="288" w:lineRule="auto"/>
        <w:rPr>
          <w:rFonts w:ascii="Arial" w:hAnsi="Arial" w:cs="Arial"/>
          <w:szCs w:val="22"/>
        </w:rPr>
      </w:pPr>
      <w:r w:rsidRPr="00F35C34">
        <w:rPr>
          <w:rFonts w:ascii="Arial" w:hAnsi="Arial" w:cs="Arial"/>
          <w:szCs w:val="22"/>
        </w:rPr>
        <w:t xml:space="preserve">Aspects of the Code of Conduct for Commercial Agents in Queensland under PAMDA are similar to but not entirely consistent with the </w:t>
      </w:r>
      <w:r>
        <w:rPr>
          <w:rFonts w:ascii="Arial" w:hAnsi="Arial" w:cs="Arial"/>
          <w:szCs w:val="22"/>
        </w:rPr>
        <w:t>Guideline</w:t>
      </w:r>
      <w:r w:rsidRPr="00F35C34">
        <w:rPr>
          <w:rFonts w:ascii="Arial" w:hAnsi="Arial" w:cs="Arial"/>
          <w:szCs w:val="22"/>
        </w:rPr>
        <w:t>.</w:t>
      </w:r>
    </w:p>
    <w:p w:rsidR="00345E4D" w:rsidRPr="00F35C34" w:rsidRDefault="00345E4D" w:rsidP="00411141">
      <w:pPr>
        <w:pStyle w:val="ListParagraph"/>
        <w:spacing w:after="200" w:line="288" w:lineRule="auto"/>
        <w:rPr>
          <w:rFonts w:ascii="Arial" w:hAnsi="Arial" w:cs="Arial"/>
          <w:szCs w:val="22"/>
        </w:rPr>
      </w:pPr>
    </w:p>
    <w:p w:rsidR="00345E4D" w:rsidRPr="00F35C34" w:rsidRDefault="00345E4D" w:rsidP="00A913BF">
      <w:pPr>
        <w:pStyle w:val="ListParagraph"/>
        <w:numPr>
          <w:ilvl w:val="0"/>
          <w:numId w:val="5"/>
        </w:numPr>
        <w:spacing w:after="200" w:line="288" w:lineRule="auto"/>
        <w:ind w:left="720"/>
        <w:rPr>
          <w:rFonts w:ascii="Arial" w:hAnsi="Arial" w:cs="Arial"/>
          <w:szCs w:val="22"/>
        </w:rPr>
      </w:pPr>
      <w:r w:rsidRPr="00F35C34">
        <w:rPr>
          <w:rFonts w:ascii="Arial" w:hAnsi="Arial" w:cs="Arial"/>
          <w:szCs w:val="22"/>
        </w:rPr>
        <w:t>The Australian Privacy Act, 1988 regulates how the industry and its clients can collect, use and disclose credit and personal information.</w:t>
      </w:r>
    </w:p>
    <w:p w:rsidR="00345E4D" w:rsidRPr="00F35C34" w:rsidRDefault="00345E4D" w:rsidP="00411141">
      <w:pPr>
        <w:pStyle w:val="ListParagraph"/>
        <w:spacing w:after="200" w:line="288" w:lineRule="auto"/>
        <w:rPr>
          <w:rFonts w:ascii="Arial" w:hAnsi="Arial" w:cs="Arial"/>
          <w:szCs w:val="22"/>
        </w:rPr>
      </w:pPr>
    </w:p>
    <w:p w:rsidR="00345E4D" w:rsidRPr="00F35C34" w:rsidRDefault="00345E4D" w:rsidP="00A913BF">
      <w:pPr>
        <w:pStyle w:val="ListParagraph"/>
        <w:numPr>
          <w:ilvl w:val="0"/>
          <w:numId w:val="5"/>
        </w:numPr>
        <w:spacing w:after="200" w:line="288" w:lineRule="auto"/>
        <w:ind w:left="720"/>
        <w:rPr>
          <w:rFonts w:ascii="Arial" w:hAnsi="Arial" w:cs="Arial"/>
          <w:szCs w:val="22"/>
        </w:rPr>
      </w:pPr>
      <w:r w:rsidRPr="00F35C34">
        <w:rPr>
          <w:rFonts w:ascii="Arial" w:hAnsi="Arial" w:cs="Arial"/>
          <w:szCs w:val="22"/>
        </w:rPr>
        <w:t xml:space="preserve">Debt buyers as assignees are obliged to comply with the </w:t>
      </w:r>
      <w:r>
        <w:rPr>
          <w:rFonts w:ascii="Arial" w:hAnsi="Arial" w:cs="Arial"/>
          <w:szCs w:val="22"/>
        </w:rPr>
        <w:t xml:space="preserve">National Credit Act, the </w:t>
      </w:r>
      <w:r w:rsidRPr="00F35C34">
        <w:rPr>
          <w:rFonts w:ascii="Arial" w:hAnsi="Arial" w:cs="Arial"/>
          <w:szCs w:val="22"/>
        </w:rPr>
        <w:t>Banking and Credit Union Codes of Practice and the Consumer Credit Code for consumer credit debt, where relevant, in addition to their contractual obligations to the assignors.</w:t>
      </w:r>
    </w:p>
    <w:p w:rsidR="00345E4D" w:rsidRPr="00F35C34" w:rsidRDefault="00345E4D" w:rsidP="00411141">
      <w:pPr>
        <w:pStyle w:val="ListParagraph"/>
        <w:spacing w:after="200" w:line="288" w:lineRule="auto"/>
        <w:rPr>
          <w:rFonts w:ascii="Arial" w:hAnsi="Arial" w:cs="Arial"/>
          <w:szCs w:val="22"/>
        </w:rPr>
      </w:pPr>
    </w:p>
    <w:p w:rsidR="00345E4D" w:rsidRDefault="00345E4D" w:rsidP="00A913BF">
      <w:pPr>
        <w:pStyle w:val="ListParagraph"/>
        <w:numPr>
          <w:ilvl w:val="0"/>
          <w:numId w:val="5"/>
        </w:numPr>
        <w:spacing w:after="200" w:line="288" w:lineRule="auto"/>
        <w:ind w:left="720"/>
        <w:rPr>
          <w:rFonts w:ascii="Arial" w:hAnsi="Arial" w:cs="Arial"/>
          <w:szCs w:val="22"/>
        </w:rPr>
      </w:pPr>
      <w:r w:rsidRPr="00F35C34">
        <w:rPr>
          <w:rFonts w:ascii="Arial" w:hAnsi="Arial" w:cs="Arial"/>
          <w:szCs w:val="22"/>
        </w:rPr>
        <w:t>Debt buyers since January 2011 hold an Australian Credit Licence pursuant to the National Consumer Credit Protection Act, 2009 and as part of such licensing regime are members of an ASIC approved External Dispute Resolution Scheme.</w:t>
      </w:r>
    </w:p>
    <w:p w:rsidR="00345E4D" w:rsidRPr="00905872" w:rsidRDefault="00345E4D" w:rsidP="00411141">
      <w:pPr>
        <w:pStyle w:val="ListParagraph"/>
        <w:ind w:left="1080"/>
        <w:rPr>
          <w:rFonts w:ascii="Arial" w:hAnsi="Arial" w:cs="Arial"/>
          <w:szCs w:val="22"/>
        </w:rPr>
      </w:pPr>
    </w:p>
    <w:p w:rsidR="00345E4D" w:rsidRDefault="00345E4D" w:rsidP="00A913BF">
      <w:pPr>
        <w:pStyle w:val="ListParagraph"/>
        <w:numPr>
          <w:ilvl w:val="0"/>
          <w:numId w:val="5"/>
        </w:numPr>
        <w:spacing w:after="200" w:line="288" w:lineRule="auto"/>
        <w:ind w:left="720"/>
        <w:rPr>
          <w:rFonts w:ascii="Arial" w:hAnsi="Arial" w:cs="Arial"/>
          <w:szCs w:val="22"/>
        </w:rPr>
      </w:pPr>
      <w:r w:rsidRPr="00F35C34">
        <w:rPr>
          <w:rFonts w:ascii="Arial" w:hAnsi="Arial" w:cs="Arial"/>
          <w:szCs w:val="22"/>
        </w:rPr>
        <w:t>ACDBA members are subject to strict legal agreements with their creditor clients which cover legal compliance, collect</w:t>
      </w:r>
      <w:r>
        <w:rPr>
          <w:rFonts w:ascii="Arial" w:hAnsi="Arial" w:cs="Arial"/>
          <w:szCs w:val="22"/>
        </w:rPr>
        <w:t>or</w:t>
      </w:r>
      <w:r w:rsidRPr="00F35C34">
        <w:rPr>
          <w:rFonts w:ascii="Arial" w:hAnsi="Arial" w:cs="Arial"/>
          <w:szCs w:val="22"/>
        </w:rPr>
        <w:t xml:space="preserve"> conduct and dispute resolution processes in addition to other contractual arrangements including reporting and auditing requirements. The agreed obligations are generally broader than </w:t>
      </w:r>
      <w:r>
        <w:rPr>
          <w:rFonts w:ascii="Arial" w:hAnsi="Arial" w:cs="Arial"/>
          <w:szCs w:val="22"/>
        </w:rPr>
        <w:t xml:space="preserve">the current outdated </w:t>
      </w:r>
      <w:r w:rsidRPr="00F35C34">
        <w:rPr>
          <w:rFonts w:ascii="Arial" w:hAnsi="Arial" w:cs="Arial"/>
          <w:szCs w:val="22"/>
        </w:rPr>
        <w:t>debt collection specific legislation.</w:t>
      </w:r>
    </w:p>
    <w:p w:rsidR="00345E4D" w:rsidRDefault="00345E4D" w:rsidP="00411141">
      <w:pPr>
        <w:pStyle w:val="ListParagraph"/>
        <w:spacing w:after="200" w:line="288" w:lineRule="auto"/>
        <w:rPr>
          <w:rFonts w:ascii="Arial" w:hAnsi="Arial" w:cs="Arial"/>
          <w:szCs w:val="22"/>
        </w:rPr>
      </w:pPr>
    </w:p>
    <w:p w:rsidR="00345E4D" w:rsidRPr="00F35C34" w:rsidRDefault="00345E4D" w:rsidP="00A913BF">
      <w:pPr>
        <w:pStyle w:val="ListParagraph"/>
        <w:numPr>
          <w:ilvl w:val="0"/>
          <w:numId w:val="5"/>
        </w:numPr>
        <w:spacing w:after="200" w:line="288" w:lineRule="auto"/>
        <w:ind w:left="720"/>
        <w:rPr>
          <w:rFonts w:ascii="Arial" w:hAnsi="Arial" w:cs="Arial"/>
          <w:szCs w:val="22"/>
        </w:rPr>
      </w:pPr>
      <w:r w:rsidRPr="00F35C34">
        <w:rPr>
          <w:rFonts w:ascii="Arial" w:hAnsi="Arial" w:cs="Arial"/>
          <w:szCs w:val="22"/>
        </w:rPr>
        <w:t xml:space="preserve">Sector members are in a competitive market where they must protect not only their own brand through quality service provision, but also their clients’ brands.  </w:t>
      </w:r>
    </w:p>
    <w:p w:rsidR="00345E4D" w:rsidRDefault="00345E4D" w:rsidP="00411141">
      <w:pPr>
        <w:pStyle w:val="ListParagraph"/>
        <w:rPr>
          <w:rFonts w:ascii="Arial" w:hAnsi="Arial" w:cs="Arial"/>
          <w:sz w:val="24"/>
        </w:rPr>
      </w:pPr>
    </w:p>
    <w:p w:rsidR="00345E4D" w:rsidRPr="00905872" w:rsidRDefault="00345E4D" w:rsidP="00411141">
      <w:pPr>
        <w:spacing w:line="288" w:lineRule="auto"/>
        <w:rPr>
          <w:rFonts w:ascii="Arial" w:hAnsi="Arial" w:cs="Arial"/>
          <w:szCs w:val="22"/>
        </w:rPr>
      </w:pPr>
      <w:r>
        <w:rPr>
          <w:rFonts w:ascii="Arial" w:hAnsi="Arial" w:cs="Arial"/>
          <w:szCs w:val="22"/>
        </w:rPr>
        <w:t>Actual c</w:t>
      </w:r>
      <w:r w:rsidRPr="00905872">
        <w:rPr>
          <w:rFonts w:ascii="Arial" w:hAnsi="Arial" w:cs="Arial"/>
          <w:szCs w:val="22"/>
        </w:rPr>
        <w:t xml:space="preserve">ompliance standards </w:t>
      </w:r>
      <w:r>
        <w:rPr>
          <w:rFonts w:ascii="Arial" w:hAnsi="Arial" w:cs="Arial"/>
          <w:szCs w:val="22"/>
        </w:rPr>
        <w:t>for</w:t>
      </w:r>
      <w:r w:rsidRPr="00905872">
        <w:rPr>
          <w:rFonts w:ascii="Arial" w:hAnsi="Arial" w:cs="Arial"/>
          <w:szCs w:val="22"/>
        </w:rPr>
        <w:t xml:space="preserve"> the Australian Collections sector are very high given the contractual and legislative obligations with which our members comply.</w:t>
      </w:r>
    </w:p>
    <w:p w:rsidR="00345E4D" w:rsidRDefault="00345E4D" w:rsidP="00411141">
      <w:pPr>
        <w:pStyle w:val="Heading2"/>
      </w:pPr>
      <w:bookmarkStart w:id="34" w:name="_Toc310510846"/>
      <w:r>
        <w:t>Complaints Data</w:t>
      </w:r>
      <w:bookmarkEnd w:id="34"/>
    </w:p>
    <w:p w:rsidR="00345E4D" w:rsidRDefault="00345E4D" w:rsidP="00411141">
      <w:pPr>
        <w:spacing w:line="288" w:lineRule="auto"/>
        <w:rPr>
          <w:rFonts w:ascii="Arial" w:hAnsi="Arial" w:cs="Arial"/>
          <w:szCs w:val="22"/>
        </w:rPr>
      </w:pPr>
      <w:r w:rsidRPr="009A4159">
        <w:rPr>
          <w:rFonts w:ascii="Arial" w:hAnsi="Arial" w:cs="Arial"/>
          <w:szCs w:val="22"/>
        </w:rPr>
        <w:t xml:space="preserve">The overall professionalism of the </w:t>
      </w:r>
      <w:r>
        <w:rPr>
          <w:rFonts w:ascii="Arial" w:hAnsi="Arial" w:cs="Arial"/>
          <w:szCs w:val="22"/>
        </w:rPr>
        <w:t xml:space="preserve">Collections </w:t>
      </w:r>
      <w:r w:rsidRPr="009A4159">
        <w:rPr>
          <w:rFonts w:ascii="Arial" w:hAnsi="Arial" w:cs="Arial"/>
          <w:szCs w:val="22"/>
        </w:rPr>
        <w:t xml:space="preserve">sector is evidenced by an extremely low rate of complaints against </w:t>
      </w:r>
      <w:r>
        <w:rPr>
          <w:rFonts w:ascii="Arial" w:hAnsi="Arial" w:cs="Arial"/>
          <w:szCs w:val="22"/>
        </w:rPr>
        <w:t xml:space="preserve">ACDBA </w:t>
      </w:r>
      <w:r w:rsidRPr="009A4159">
        <w:rPr>
          <w:rFonts w:ascii="Arial" w:hAnsi="Arial" w:cs="Arial"/>
          <w:szCs w:val="22"/>
        </w:rPr>
        <w:t xml:space="preserve">members.  </w:t>
      </w:r>
    </w:p>
    <w:p w:rsidR="00345E4D"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rPr>
      </w:pPr>
      <w:r>
        <w:rPr>
          <w:rFonts w:ascii="Arial" w:hAnsi="Arial" w:cs="Arial"/>
        </w:rPr>
        <w:t xml:space="preserve">The value of the work undertaken by the Collections sector to the ultimate benefit of the overall Australian economy is obvious given at any point in time there is currently in excess of $13.6 billion in debt value represented by some 5.4 7 million individual files being handled by the sector. </w:t>
      </w:r>
    </w:p>
    <w:p w:rsidR="00345E4D" w:rsidRDefault="00345E4D" w:rsidP="00411141">
      <w:pPr>
        <w:spacing w:line="288" w:lineRule="auto"/>
        <w:rPr>
          <w:rFonts w:ascii="Arial" w:hAnsi="Arial" w:cs="Arial"/>
        </w:rPr>
      </w:pPr>
    </w:p>
    <w:p w:rsidR="00345E4D" w:rsidRDefault="00345E4D" w:rsidP="00411141">
      <w:pPr>
        <w:spacing w:line="288" w:lineRule="auto"/>
        <w:rPr>
          <w:rFonts w:ascii="Arial" w:hAnsi="Arial" w:cs="Arial"/>
        </w:rPr>
      </w:pPr>
      <w:r>
        <w:rPr>
          <w:rFonts w:ascii="Arial" w:hAnsi="Arial" w:cs="Arial"/>
        </w:rPr>
        <w:t xml:space="preserve">Analysis of ACDBA member data in relation to 3.6 million account files reveals a total of 43.9 million contacts were made with debtors in the 12 months ended 30 June 2011 by way of telephone, SMS messages, letters and emails.  </w:t>
      </w:r>
    </w:p>
    <w:p w:rsidR="00345E4D" w:rsidRDefault="00345E4D" w:rsidP="00411141">
      <w:pPr>
        <w:spacing w:line="288" w:lineRule="auto"/>
        <w:rPr>
          <w:rFonts w:ascii="Arial" w:hAnsi="Arial" w:cs="Arial"/>
        </w:rPr>
      </w:pPr>
    </w:p>
    <w:p w:rsidR="00345E4D" w:rsidRDefault="00345E4D" w:rsidP="00411141">
      <w:pPr>
        <w:spacing w:line="288" w:lineRule="auto"/>
        <w:rPr>
          <w:rFonts w:ascii="Arial" w:hAnsi="Arial" w:cs="Arial"/>
        </w:rPr>
      </w:pPr>
      <w:r>
        <w:rPr>
          <w:rFonts w:ascii="Arial" w:hAnsi="Arial" w:cs="Arial"/>
        </w:rPr>
        <w:t xml:space="preserve">Given this very high volume of interaction with consumers the actual incidents (alleging unsatisfactory professional collector conduct) reported as part of members’ internal dispute resolution processes numbered a surprisingly low 3288 - revealing a very low incident rate of 0.007% of contacts made. </w:t>
      </w:r>
    </w:p>
    <w:p w:rsidR="00345E4D" w:rsidRPr="00D34660" w:rsidRDefault="00345E4D" w:rsidP="00411141">
      <w:pPr>
        <w:spacing w:line="288" w:lineRule="auto"/>
        <w:rPr>
          <w:rFonts w:ascii="Arial" w:hAnsi="Arial" w:cs="Arial"/>
        </w:rPr>
      </w:pPr>
    </w:p>
    <w:p w:rsidR="00345E4D" w:rsidRPr="00D34660" w:rsidRDefault="00345E4D" w:rsidP="00D34660">
      <w:pPr>
        <w:spacing w:line="288" w:lineRule="auto"/>
        <w:rPr>
          <w:rStyle w:val="Emphasis"/>
          <w:rFonts w:ascii="Arial" w:hAnsi="Arial" w:cs="Arial"/>
          <w:i w:val="0"/>
        </w:rPr>
      </w:pPr>
      <w:r w:rsidRPr="00D34660">
        <w:rPr>
          <w:rStyle w:val="Emphasis"/>
          <w:rFonts w:ascii="Arial" w:hAnsi="Arial" w:cs="Arial"/>
          <w:i w:val="0"/>
        </w:rPr>
        <w:t>To provide some perspective on the very low level of complaints each year raised by consumers in relation to the very high volume of debtor contacts by the Collections sector it is appropriate to look to the level of complaints experienced by other organisations and/or industries:</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spacing w:line="288" w:lineRule="auto"/>
        <w:rPr>
          <w:rStyle w:val="Emphasis"/>
          <w:rFonts w:ascii="Arial" w:hAnsi="Arial" w:cs="Arial"/>
          <w:i w:val="0"/>
        </w:rPr>
      </w:pPr>
      <w:r w:rsidRPr="00D34660">
        <w:rPr>
          <w:rStyle w:val="Emphasis"/>
          <w:rFonts w:ascii="Arial" w:hAnsi="Arial" w:cs="Arial"/>
          <w:i w:val="0"/>
        </w:rPr>
        <w:t>The Commonwealth Ombudsman handles complaints from consumers dissatisfied with Commonwealth Departments and Services – the Ombudsman’s most recent annual report</w:t>
      </w:r>
      <w:r w:rsidRPr="00D34660">
        <w:rPr>
          <w:rStyle w:val="FootnoteReference"/>
          <w:rFonts w:ascii="Arial" w:hAnsi="Arial" w:cs="Arial"/>
          <w:iCs/>
        </w:rPr>
        <w:footnoteReference w:id="7"/>
      </w:r>
      <w:r w:rsidRPr="00D34660">
        <w:rPr>
          <w:rStyle w:val="Emphasis"/>
          <w:rFonts w:ascii="Arial" w:hAnsi="Arial" w:cs="Arial"/>
          <w:i w:val="0"/>
        </w:rPr>
        <w:t xml:space="preserve"> details in respect to the total of 17,407 complaints received in relation to Commonwealth activities, specific complaints included:</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2,626</w:t>
      </w:r>
      <w:r w:rsidRPr="00D34660">
        <w:rPr>
          <w:rStyle w:val="Emphasis"/>
          <w:rFonts w:ascii="Arial" w:hAnsi="Arial" w:cs="Arial"/>
          <w:i w:val="0"/>
        </w:rPr>
        <w:tab/>
        <w:t>Australia Post</w:t>
      </w:r>
      <w:r w:rsidRPr="00D34660">
        <w:rPr>
          <w:rStyle w:val="Emphasis"/>
          <w:rFonts w:ascii="Arial" w:hAnsi="Arial" w:cs="Arial"/>
          <w:i w:val="0"/>
        </w:rPr>
        <w:tab/>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1,810</w:t>
      </w:r>
      <w:r w:rsidRPr="00D34660">
        <w:rPr>
          <w:rStyle w:val="Emphasis"/>
          <w:rFonts w:ascii="Arial" w:hAnsi="Arial" w:cs="Arial"/>
          <w:i w:val="0"/>
        </w:rPr>
        <w:tab/>
        <w:t>Australian Taxation Office</w:t>
      </w:r>
      <w:r w:rsidRPr="00D34660">
        <w:rPr>
          <w:rStyle w:val="Emphasis"/>
          <w:rFonts w:ascii="Arial" w:hAnsi="Arial" w:cs="Arial"/>
          <w:i w:val="0"/>
        </w:rPr>
        <w:tab/>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5,199</w:t>
      </w:r>
      <w:r w:rsidRPr="00D34660">
        <w:rPr>
          <w:rStyle w:val="Emphasis"/>
          <w:rFonts w:ascii="Arial" w:hAnsi="Arial" w:cs="Arial"/>
          <w:i w:val="0"/>
        </w:rPr>
        <w:tab/>
        <w:t>Centrelink</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2,280</w:t>
      </w:r>
      <w:r w:rsidRPr="00D34660">
        <w:rPr>
          <w:rStyle w:val="Emphasis"/>
          <w:rFonts w:ascii="Arial" w:hAnsi="Arial" w:cs="Arial"/>
          <w:i w:val="0"/>
        </w:rPr>
        <w:tab/>
        <w:t>Child Support Agency</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153</w:t>
      </w:r>
      <w:r w:rsidRPr="00D34660">
        <w:rPr>
          <w:rStyle w:val="Emphasis"/>
          <w:rFonts w:ascii="Arial" w:hAnsi="Arial" w:cs="Arial"/>
          <w:i w:val="0"/>
        </w:rPr>
        <w:tab/>
        <w:t>Dept of Climate Change &amp; Energy Efficiency</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1,600</w:t>
      </w:r>
      <w:r w:rsidRPr="00D34660">
        <w:rPr>
          <w:rStyle w:val="Emphasis"/>
          <w:rFonts w:ascii="Arial" w:hAnsi="Arial" w:cs="Arial"/>
          <w:i w:val="0"/>
        </w:rPr>
        <w:tab/>
        <w:t>Dept of Immigration &amp; Citizenship</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spacing w:line="288" w:lineRule="auto"/>
        <w:rPr>
          <w:rStyle w:val="Emphasis"/>
          <w:rFonts w:ascii="Arial" w:hAnsi="Arial" w:cs="Arial"/>
          <w:i w:val="0"/>
        </w:rPr>
      </w:pPr>
      <w:r w:rsidRPr="00D34660">
        <w:rPr>
          <w:rStyle w:val="Emphasis"/>
          <w:rFonts w:ascii="Arial" w:hAnsi="Arial" w:cs="Arial"/>
          <w:i w:val="0"/>
        </w:rPr>
        <w:t>The NSW Ombudsman handles complaints from persons dissatisfied with NSW Government Departments and Services – he has reported</w:t>
      </w:r>
      <w:r w:rsidRPr="00D34660">
        <w:rPr>
          <w:rStyle w:val="FootnoteReference"/>
          <w:rFonts w:ascii="Arial" w:hAnsi="Arial" w:cs="Arial"/>
          <w:iCs/>
        </w:rPr>
        <w:footnoteReference w:id="8"/>
      </w:r>
      <w:r w:rsidRPr="00D34660">
        <w:rPr>
          <w:rStyle w:val="Emphasis"/>
          <w:rFonts w:ascii="Arial" w:hAnsi="Arial" w:cs="Arial"/>
          <w:i w:val="0"/>
        </w:rPr>
        <w:t xml:space="preserve"> 8</w:t>
      </w:r>
      <w:r>
        <w:rPr>
          <w:rStyle w:val="Emphasis"/>
          <w:rFonts w:ascii="Arial" w:hAnsi="Arial" w:cs="Arial"/>
          <w:i w:val="0"/>
        </w:rPr>
        <w:t>,</w:t>
      </w:r>
      <w:r w:rsidRPr="00D34660">
        <w:rPr>
          <w:rStyle w:val="Emphasis"/>
          <w:rFonts w:ascii="Arial" w:hAnsi="Arial" w:cs="Arial"/>
          <w:i w:val="0"/>
        </w:rPr>
        <w:t>917 formal and 24,147 informal complaints were received in the 2010-11 year and noted formal complaints included:</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1,381</w:t>
      </w:r>
      <w:r w:rsidRPr="00D34660">
        <w:rPr>
          <w:rStyle w:val="Emphasis"/>
          <w:rFonts w:ascii="Arial" w:hAnsi="Arial" w:cs="Arial"/>
          <w:i w:val="0"/>
        </w:rPr>
        <w:tab/>
        <w:t>Departments &amp; authorities</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912</w:t>
      </w:r>
      <w:r w:rsidRPr="00D34660">
        <w:rPr>
          <w:rStyle w:val="Emphasis"/>
          <w:rFonts w:ascii="Arial" w:hAnsi="Arial" w:cs="Arial"/>
          <w:i w:val="0"/>
        </w:rPr>
        <w:tab/>
        <w:t>Local government</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864</w:t>
      </w:r>
      <w:r w:rsidRPr="00D34660">
        <w:rPr>
          <w:rStyle w:val="Emphasis"/>
          <w:rFonts w:ascii="Arial" w:hAnsi="Arial" w:cs="Arial"/>
          <w:i w:val="0"/>
        </w:rPr>
        <w:tab/>
        <w:t>Correctional centres and Justice Health</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865</w:t>
      </w:r>
      <w:r w:rsidRPr="00D34660">
        <w:rPr>
          <w:rStyle w:val="Emphasis"/>
          <w:rFonts w:ascii="Arial" w:hAnsi="Arial" w:cs="Arial"/>
          <w:i w:val="0"/>
        </w:rPr>
        <w:tab/>
        <w:t>Employment related child protection</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3,256</w:t>
      </w:r>
      <w:r w:rsidRPr="00D34660">
        <w:rPr>
          <w:rStyle w:val="Emphasis"/>
          <w:rFonts w:ascii="Arial" w:hAnsi="Arial" w:cs="Arial"/>
          <w:i w:val="0"/>
        </w:rPr>
        <w:tab/>
        <w:t>NSW Police</w:t>
      </w:r>
    </w:p>
    <w:p w:rsidR="00345E4D" w:rsidRPr="00D34660" w:rsidRDefault="00345E4D" w:rsidP="00D34660">
      <w:pPr>
        <w:spacing w:line="288" w:lineRule="auto"/>
        <w:rPr>
          <w:rStyle w:val="Emphasis"/>
          <w:rFonts w:ascii="Arial" w:hAnsi="Arial" w:cs="Arial"/>
          <w:i w:val="0"/>
        </w:rPr>
      </w:pPr>
    </w:p>
    <w:p w:rsidR="00345E4D" w:rsidRDefault="00345E4D" w:rsidP="00D34660">
      <w:pPr>
        <w:spacing w:line="288" w:lineRule="auto"/>
        <w:rPr>
          <w:rStyle w:val="Emphasis"/>
          <w:rFonts w:ascii="Arial" w:hAnsi="Arial" w:cs="Arial"/>
          <w:i w:val="0"/>
        </w:rPr>
      </w:pPr>
    </w:p>
    <w:p w:rsidR="00345E4D" w:rsidRDefault="00345E4D" w:rsidP="00D34660">
      <w:pPr>
        <w:spacing w:line="288" w:lineRule="auto"/>
        <w:rPr>
          <w:rStyle w:val="Emphasis"/>
          <w:rFonts w:ascii="Arial" w:hAnsi="Arial" w:cs="Arial"/>
          <w:i w:val="0"/>
        </w:rPr>
      </w:pPr>
      <w:r w:rsidRPr="00D34660">
        <w:rPr>
          <w:rStyle w:val="Emphasis"/>
          <w:rFonts w:ascii="Arial" w:hAnsi="Arial" w:cs="Arial"/>
          <w:i w:val="0"/>
        </w:rPr>
        <w:t>The Telecommunications Industry Ombudsman has reported</w:t>
      </w:r>
      <w:r w:rsidRPr="00D34660">
        <w:rPr>
          <w:rStyle w:val="FootnoteReference"/>
          <w:rFonts w:ascii="Arial" w:hAnsi="Arial" w:cs="Arial"/>
          <w:iCs/>
        </w:rPr>
        <w:footnoteReference w:id="9"/>
      </w:r>
      <w:r w:rsidRPr="00D34660">
        <w:rPr>
          <w:rStyle w:val="Emphasis"/>
          <w:rFonts w:ascii="Arial" w:hAnsi="Arial" w:cs="Arial"/>
          <w:i w:val="0"/>
        </w:rPr>
        <w:t xml:space="preserve"> new complaints received from consumers in relation to telecommunication suppliers totalled 197,682 in 2010-11.</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spacing w:line="288" w:lineRule="auto"/>
        <w:rPr>
          <w:rStyle w:val="Emphasis"/>
          <w:rFonts w:ascii="Arial" w:hAnsi="Arial" w:cs="Arial"/>
          <w:i w:val="0"/>
        </w:rPr>
      </w:pPr>
      <w:r w:rsidRPr="00D34660">
        <w:rPr>
          <w:rStyle w:val="Emphasis"/>
          <w:rFonts w:ascii="Arial" w:hAnsi="Arial" w:cs="Arial"/>
          <w:i w:val="0"/>
        </w:rPr>
        <w:t>The Energy &amp; Water Ombudsman NSW has reported</w:t>
      </w:r>
      <w:r w:rsidRPr="00D34660">
        <w:rPr>
          <w:rStyle w:val="FootnoteReference"/>
          <w:rFonts w:ascii="Arial" w:hAnsi="Arial" w:cs="Arial"/>
          <w:iCs/>
        </w:rPr>
        <w:footnoteReference w:id="10"/>
      </w:r>
      <w:r w:rsidRPr="00D34660">
        <w:rPr>
          <w:rStyle w:val="Emphasis"/>
          <w:rFonts w:ascii="Arial" w:hAnsi="Arial" w:cs="Arial"/>
          <w:i w:val="0"/>
        </w:rPr>
        <w:t xml:space="preserve"> handling a total of 15,048 consumer disputes about all electricity and gas suppliers in NSW and some water suppliers during the 2009-10 year.</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spacing w:line="288" w:lineRule="auto"/>
        <w:rPr>
          <w:rStyle w:val="Emphasis"/>
          <w:rFonts w:ascii="Arial" w:hAnsi="Arial" w:cs="Arial"/>
          <w:i w:val="0"/>
        </w:rPr>
      </w:pPr>
      <w:r w:rsidRPr="00D34660">
        <w:rPr>
          <w:rStyle w:val="Emphasis"/>
          <w:rFonts w:ascii="Arial" w:hAnsi="Arial" w:cs="Arial"/>
          <w:i w:val="0"/>
        </w:rPr>
        <w:t>The Private Hospital Insurance Ombudsman has reported</w:t>
      </w:r>
      <w:r w:rsidRPr="00D34660">
        <w:rPr>
          <w:rStyle w:val="FootnoteReference"/>
          <w:rFonts w:ascii="Arial" w:hAnsi="Arial" w:cs="Arial"/>
          <w:iCs/>
        </w:rPr>
        <w:footnoteReference w:id="11"/>
      </w:r>
      <w:r w:rsidRPr="00D34660">
        <w:rPr>
          <w:rStyle w:val="Emphasis"/>
          <w:rFonts w:ascii="Arial" w:hAnsi="Arial" w:cs="Arial"/>
          <w:i w:val="0"/>
        </w:rPr>
        <w:t xml:space="preserve"> complaints received in respect to private health insurers totalled 3070 in 2010-11 and 2610 in 2009-2010.   Complaints made to Medicare Australia</w:t>
      </w:r>
      <w:r w:rsidRPr="00D34660">
        <w:rPr>
          <w:rStyle w:val="FootnoteReference"/>
          <w:rFonts w:ascii="Arial" w:hAnsi="Arial" w:cs="Arial"/>
          <w:iCs/>
        </w:rPr>
        <w:footnoteReference w:id="12"/>
      </w:r>
      <w:r w:rsidRPr="00D34660">
        <w:rPr>
          <w:rStyle w:val="Emphasis"/>
          <w:rFonts w:ascii="Arial" w:hAnsi="Arial" w:cs="Arial"/>
          <w:i w:val="0"/>
        </w:rPr>
        <w:t xml:space="preserve"> in 2010-11 numbered 4471.</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spacing w:line="288" w:lineRule="auto"/>
        <w:rPr>
          <w:rStyle w:val="Emphasis"/>
          <w:rFonts w:ascii="Arial" w:hAnsi="Arial" w:cs="Arial"/>
          <w:i w:val="0"/>
        </w:rPr>
      </w:pPr>
      <w:r w:rsidRPr="00D34660">
        <w:rPr>
          <w:rStyle w:val="Emphasis"/>
          <w:rFonts w:ascii="Arial" w:hAnsi="Arial" w:cs="Arial"/>
          <w:i w:val="0"/>
        </w:rPr>
        <w:t>The Financial Services Ombudsman (FOS) handles disputes from consumers in relation to its members’ financial products and services and has reported</w:t>
      </w:r>
      <w:r w:rsidRPr="00D34660">
        <w:rPr>
          <w:rStyle w:val="FootnoteReference"/>
          <w:rFonts w:ascii="Arial" w:hAnsi="Arial" w:cs="Arial"/>
          <w:iCs/>
        </w:rPr>
        <w:footnoteReference w:id="13"/>
      </w:r>
      <w:r w:rsidRPr="00D34660">
        <w:rPr>
          <w:rStyle w:val="Emphasis"/>
          <w:rFonts w:ascii="Arial" w:hAnsi="Arial" w:cs="Arial"/>
          <w:i w:val="0"/>
        </w:rPr>
        <w:t xml:space="preserve"> a total of 24,953 disputes in 2009-10, made up in part as:</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10,112</w:t>
      </w:r>
      <w:r w:rsidRPr="00D34660">
        <w:rPr>
          <w:rStyle w:val="Emphasis"/>
          <w:rFonts w:ascii="Arial" w:hAnsi="Arial" w:cs="Arial"/>
          <w:i w:val="0"/>
        </w:rPr>
        <w:tab/>
        <w:t>Credit</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7,964</w:t>
      </w:r>
      <w:r w:rsidRPr="00D34660">
        <w:rPr>
          <w:rStyle w:val="Emphasis"/>
          <w:rFonts w:ascii="Arial" w:hAnsi="Arial" w:cs="Arial"/>
          <w:i w:val="0"/>
        </w:rPr>
        <w:tab/>
        <w:t>Insurance</w:t>
      </w:r>
    </w:p>
    <w:p w:rsidR="00345E4D" w:rsidRPr="00D34660" w:rsidRDefault="00345E4D" w:rsidP="00D34660">
      <w:pPr>
        <w:tabs>
          <w:tab w:val="left" w:pos="993"/>
        </w:tabs>
        <w:spacing w:line="288" w:lineRule="auto"/>
        <w:rPr>
          <w:rStyle w:val="Emphasis"/>
          <w:rFonts w:ascii="Arial" w:hAnsi="Arial" w:cs="Arial"/>
          <w:i w:val="0"/>
        </w:rPr>
      </w:pPr>
      <w:r w:rsidRPr="00D34660">
        <w:rPr>
          <w:rStyle w:val="Emphasis"/>
          <w:rFonts w:ascii="Arial" w:hAnsi="Arial" w:cs="Arial"/>
          <w:i w:val="0"/>
        </w:rPr>
        <w:t>2,022</w:t>
      </w:r>
      <w:r w:rsidRPr="00D34660">
        <w:rPr>
          <w:rStyle w:val="Emphasis"/>
          <w:rFonts w:ascii="Arial" w:hAnsi="Arial" w:cs="Arial"/>
          <w:i w:val="0"/>
        </w:rPr>
        <w:tab/>
        <w:t>Payment systems</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spacing w:line="288" w:lineRule="auto"/>
        <w:rPr>
          <w:rStyle w:val="Emphasis"/>
          <w:rFonts w:ascii="Arial" w:hAnsi="Arial" w:cs="Arial"/>
          <w:i w:val="0"/>
        </w:rPr>
      </w:pPr>
      <w:r w:rsidRPr="00D34660">
        <w:rPr>
          <w:rStyle w:val="Emphasis"/>
          <w:rFonts w:ascii="Arial" w:hAnsi="Arial" w:cs="Arial"/>
          <w:i w:val="0"/>
        </w:rPr>
        <w:t>Of the disputes reported on by FOS for the 2009-10 year, only 199 related to debt collectors or debt buyers.</w:t>
      </w:r>
    </w:p>
    <w:p w:rsidR="00345E4D" w:rsidRPr="00D34660" w:rsidRDefault="00345E4D" w:rsidP="00D34660">
      <w:pPr>
        <w:spacing w:line="288" w:lineRule="auto"/>
        <w:rPr>
          <w:rStyle w:val="Emphasis"/>
          <w:rFonts w:ascii="Arial" w:hAnsi="Arial" w:cs="Arial"/>
          <w:i w:val="0"/>
        </w:rPr>
      </w:pPr>
    </w:p>
    <w:p w:rsidR="00345E4D" w:rsidRPr="00D34660" w:rsidRDefault="00345E4D" w:rsidP="00D34660">
      <w:pPr>
        <w:spacing w:line="288" w:lineRule="auto"/>
        <w:rPr>
          <w:rStyle w:val="Emphasis"/>
          <w:rFonts w:ascii="Arial" w:hAnsi="Arial" w:cs="Arial"/>
          <w:i w:val="0"/>
        </w:rPr>
      </w:pPr>
      <w:r w:rsidRPr="00D34660">
        <w:rPr>
          <w:rStyle w:val="Emphasis"/>
          <w:rFonts w:ascii="Arial" w:hAnsi="Arial" w:cs="Arial"/>
          <w:i w:val="0"/>
        </w:rPr>
        <w:t>The Credit Ombudsman Service (COSL) handles disputes from consumers in relation to member financial services providers.  COSL has reported</w:t>
      </w:r>
      <w:r w:rsidRPr="00D34660">
        <w:rPr>
          <w:rStyle w:val="FootnoteReference"/>
          <w:rFonts w:ascii="Arial" w:hAnsi="Arial" w:cs="Arial"/>
          <w:iCs/>
        </w:rPr>
        <w:footnoteReference w:id="14"/>
      </w:r>
      <w:r w:rsidRPr="00D34660">
        <w:rPr>
          <w:rStyle w:val="Emphasis"/>
          <w:rFonts w:ascii="Arial" w:hAnsi="Arial" w:cs="Arial"/>
          <w:i w:val="0"/>
        </w:rPr>
        <w:t xml:space="preserve"> a total of 1153 complaints were received in 2009-10 from consumers, only 78 of which related to debt collection.</w:t>
      </w:r>
    </w:p>
    <w:p w:rsidR="00345E4D" w:rsidRDefault="00345E4D" w:rsidP="00411141">
      <w:pPr>
        <w:spacing w:line="288" w:lineRule="auto"/>
        <w:rPr>
          <w:rFonts w:ascii="Arial" w:hAnsi="Arial" w:cs="Arial"/>
        </w:rPr>
      </w:pPr>
    </w:p>
    <w:p w:rsidR="00345E4D" w:rsidRDefault="00345E4D" w:rsidP="00411141">
      <w:pPr>
        <w:spacing w:line="288" w:lineRule="auto"/>
        <w:rPr>
          <w:rFonts w:ascii="Arial" w:hAnsi="Arial" w:cs="Arial"/>
        </w:rPr>
      </w:pPr>
      <w:r w:rsidRPr="00D34660">
        <w:rPr>
          <w:rFonts w:ascii="Arial" w:hAnsi="Arial" w:cs="Arial"/>
        </w:rPr>
        <w:t xml:space="preserve">Our </w:t>
      </w:r>
      <w:r>
        <w:rPr>
          <w:rFonts w:ascii="Arial" w:hAnsi="Arial" w:cs="Arial"/>
        </w:rPr>
        <w:t xml:space="preserve">members’ </w:t>
      </w:r>
      <w:r w:rsidRPr="00D34660">
        <w:rPr>
          <w:rFonts w:ascii="Arial" w:hAnsi="Arial" w:cs="Arial"/>
        </w:rPr>
        <w:t>complaints data speaks for itself in comparison to other industries.  It is amongst the lowest across any consumer facing industry, much less one that operates in a challenging environment. </w:t>
      </w:r>
    </w:p>
    <w:p w:rsidR="00345E4D" w:rsidRDefault="00345E4D" w:rsidP="00411141">
      <w:pPr>
        <w:pStyle w:val="Heading2"/>
      </w:pPr>
    </w:p>
    <w:p w:rsidR="00345E4D" w:rsidRDefault="00345E4D" w:rsidP="00411141">
      <w:pPr>
        <w:pStyle w:val="Heading2"/>
      </w:pPr>
      <w:bookmarkStart w:id="35" w:name="_Toc310510847"/>
      <w:r w:rsidRPr="009A4159">
        <w:t xml:space="preserve">Service </w:t>
      </w:r>
      <w:r>
        <w:t>D</w:t>
      </w:r>
      <w:r w:rsidRPr="009A4159">
        <w:t>elivery</w:t>
      </w:r>
      <w:bookmarkEnd w:id="35"/>
    </w:p>
    <w:p w:rsidR="00345E4D" w:rsidRDefault="00345E4D" w:rsidP="00411141">
      <w:pPr>
        <w:spacing w:line="288" w:lineRule="auto"/>
        <w:rPr>
          <w:rFonts w:ascii="Arial" w:hAnsi="Arial" w:cs="Arial"/>
          <w:szCs w:val="22"/>
        </w:rPr>
      </w:pPr>
      <w:r w:rsidRPr="00542A22">
        <w:rPr>
          <w:rFonts w:ascii="Arial" w:hAnsi="Arial" w:cs="Arial"/>
          <w:szCs w:val="22"/>
        </w:rPr>
        <w:t xml:space="preserve">As noted earlier ACDBA’s focus </w:t>
      </w:r>
      <w:r>
        <w:rPr>
          <w:rFonts w:ascii="Arial" w:hAnsi="Arial" w:cs="Arial"/>
          <w:szCs w:val="22"/>
        </w:rPr>
        <w:t xml:space="preserve">in this submission </w:t>
      </w:r>
      <w:r w:rsidRPr="00542A22">
        <w:rPr>
          <w:rFonts w:ascii="Arial" w:hAnsi="Arial" w:cs="Arial"/>
          <w:szCs w:val="22"/>
        </w:rPr>
        <w:t>is on collectors and debt buyers, being the Collections sector which undertakes debt collection functions with</w:t>
      </w:r>
      <w:r>
        <w:rPr>
          <w:rFonts w:ascii="Arial" w:hAnsi="Arial" w:cs="Arial"/>
          <w:szCs w:val="22"/>
        </w:rPr>
        <w:t xml:space="preserve"> </w:t>
      </w:r>
      <w:r w:rsidRPr="00542A22">
        <w:rPr>
          <w:rFonts w:ascii="Arial" w:hAnsi="Arial" w:cs="Arial"/>
          <w:szCs w:val="22"/>
        </w:rPr>
        <w:t>no face to face debtor contact</w:t>
      </w:r>
      <w:r>
        <w:rPr>
          <w:rFonts w:ascii="Arial" w:hAnsi="Arial" w:cs="Arial"/>
          <w:szCs w:val="22"/>
        </w:rPr>
        <w:t xml:space="preserve">, </w:t>
      </w:r>
      <w:r w:rsidRPr="002F55FB">
        <w:rPr>
          <w:rFonts w:ascii="Arial" w:hAnsi="Arial" w:cs="Arial"/>
          <w:szCs w:val="22"/>
        </w:rPr>
        <w:t>except on extremely rare occasions.</w:t>
      </w:r>
    </w:p>
    <w:p w:rsidR="00345E4D" w:rsidRPr="00414159" w:rsidRDefault="00345E4D" w:rsidP="00411141">
      <w:pPr>
        <w:spacing w:line="288" w:lineRule="auto"/>
        <w:rPr>
          <w:rFonts w:ascii="Arial" w:hAnsi="Arial" w:cs="Arial"/>
          <w:sz w:val="24"/>
        </w:rPr>
      </w:pPr>
    </w:p>
    <w:p w:rsidR="00345E4D"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szCs w:val="22"/>
        </w:rPr>
      </w:pPr>
    </w:p>
    <w:p w:rsidR="00345E4D" w:rsidRPr="00FE1B60" w:rsidRDefault="00345E4D" w:rsidP="00411141">
      <w:pPr>
        <w:spacing w:line="288" w:lineRule="auto"/>
        <w:rPr>
          <w:rFonts w:ascii="Arial" w:hAnsi="Arial" w:cs="Arial"/>
          <w:szCs w:val="22"/>
        </w:rPr>
      </w:pPr>
      <w:r w:rsidRPr="00FE1B60">
        <w:rPr>
          <w:rFonts w:ascii="Arial" w:hAnsi="Arial" w:cs="Arial"/>
          <w:szCs w:val="22"/>
        </w:rPr>
        <w:t>Collectors act for a range of clients involving government, commercial, utility and consumer debts.  Collection work is undertaken either as:</w:t>
      </w:r>
    </w:p>
    <w:p w:rsidR="00345E4D" w:rsidRPr="00414159" w:rsidRDefault="00345E4D" w:rsidP="00411141">
      <w:pPr>
        <w:spacing w:line="288" w:lineRule="auto"/>
        <w:rPr>
          <w:rFonts w:ascii="Arial" w:hAnsi="Arial" w:cs="Arial"/>
          <w:sz w:val="24"/>
        </w:rPr>
      </w:pPr>
    </w:p>
    <w:p w:rsidR="00345E4D" w:rsidRPr="00414159" w:rsidRDefault="00345E4D" w:rsidP="00411141">
      <w:pPr>
        <w:pStyle w:val="ListParagraph"/>
        <w:spacing w:after="200" w:line="288" w:lineRule="auto"/>
        <w:ind w:left="360"/>
        <w:rPr>
          <w:rFonts w:ascii="Arial" w:hAnsi="Arial" w:cs="Arial"/>
          <w:b/>
          <w:szCs w:val="22"/>
        </w:rPr>
      </w:pPr>
      <w:r w:rsidRPr="00414159">
        <w:rPr>
          <w:rFonts w:ascii="Arial" w:hAnsi="Arial" w:cs="Arial"/>
          <w:b/>
          <w:szCs w:val="22"/>
        </w:rPr>
        <w:t>Contingent collections:</w:t>
      </w:r>
    </w:p>
    <w:p w:rsidR="00345E4D" w:rsidRPr="00414159" w:rsidRDefault="00345E4D" w:rsidP="00411141">
      <w:pPr>
        <w:pStyle w:val="ListParagraph"/>
        <w:spacing w:after="200" w:line="288" w:lineRule="auto"/>
        <w:ind w:left="360"/>
        <w:rPr>
          <w:rFonts w:ascii="Arial" w:hAnsi="Arial" w:cs="Arial"/>
          <w:szCs w:val="22"/>
        </w:rPr>
      </w:pPr>
      <w:r w:rsidRPr="00414159">
        <w:rPr>
          <w:rFonts w:ascii="Arial" w:hAnsi="Arial" w:cs="Arial"/>
          <w:szCs w:val="22"/>
        </w:rPr>
        <w:t>Agencies collect debt</w:t>
      </w:r>
      <w:r>
        <w:rPr>
          <w:rFonts w:ascii="Arial" w:hAnsi="Arial" w:cs="Arial"/>
          <w:szCs w:val="22"/>
        </w:rPr>
        <w:t>s</w:t>
      </w:r>
      <w:r w:rsidRPr="00414159">
        <w:rPr>
          <w:rFonts w:ascii="Arial" w:hAnsi="Arial" w:cs="Arial"/>
          <w:szCs w:val="22"/>
        </w:rPr>
        <w:t xml:space="preserve"> on behalf of the original creditor under a “principal and agent” agreement for an agreed fee (either as a percentage of the debts recovered or as a flat fee per file or activity).  The debt is owned at all times by the original creditor.</w:t>
      </w:r>
    </w:p>
    <w:p w:rsidR="00345E4D" w:rsidRPr="00414159" w:rsidRDefault="00345E4D" w:rsidP="00411141">
      <w:pPr>
        <w:pStyle w:val="ListParagraph"/>
        <w:spacing w:after="200" w:line="288" w:lineRule="auto"/>
        <w:ind w:left="360"/>
        <w:rPr>
          <w:rFonts w:ascii="Arial" w:hAnsi="Arial" w:cs="Arial"/>
          <w:szCs w:val="22"/>
        </w:rPr>
      </w:pPr>
    </w:p>
    <w:p w:rsidR="00345E4D" w:rsidRPr="00414159" w:rsidRDefault="00345E4D" w:rsidP="00411141">
      <w:pPr>
        <w:pStyle w:val="ListParagraph"/>
        <w:spacing w:after="200" w:line="288" w:lineRule="auto"/>
        <w:ind w:left="360"/>
        <w:rPr>
          <w:rFonts w:ascii="Arial" w:hAnsi="Arial" w:cs="Arial"/>
          <w:b/>
          <w:szCs w:val="22"/>
        </w:rPr>
      </w:pPr>
      <w:r w:rsidRPr="00414159">
        <w:rPr>
          <w:rFonts w:ascii="Arial" w:hAnsi="Arial" w:cs="Arial"/>
          <w:b/>
          <w:szCs w:val="22"/>
        </w:rPr>
        <w:t xml:space="preserve">Debt purchase collections: </w:t>
      </w:r>
    </w:p>
    <w:p w:rsidR="00345E4D" w:rsidRPr="00414159" w:rsidRDefault="00345E4D" w:rsidP="00411141">
      <w:pPr>
        <w:pStyle w:val="ListParagraph"/>
        <w:spacing w:after="200" w:line="288" w:lineRule="auto"/>
        <w:ind w:left="360"/>
        <w:rPr>
          <w:rFonts w:ascii="Arial" w:hAnsi="Arial" w:cs="Arial"/>
          <w:szCs w:val="22"/>
        </w:rPr>
      </w:pPr>
      <w:r w:rsidRPr="00414159">
        <w:rPr>
          <w:rFonts w:ascii="Arial" w:hAnsi="Arial" w:cs="Arial"/>
          <w:szCs w:val="22"/>
        </w:rPr>
        <w:t xml:space="preserve">Debt buyers are involved in purchasing charged off or non-performing accounts being debts where the credit provider has been unable to collect and where no further credit will be extended. The credit provider generally writes the debts off and assigns its rights to the debt buyer. </w:t>
      </w:r>
    </w:p>
    <w:p w:rsidR="00345E4D" w:rsidRDefault="00345E4D" w:rsidP="00411141">
      <w:pPr>
        <w:spacing w:line="288" w:lineRule="auto"/>
        <w:rPr>
          <w:rFonts w:ascii="Arial" w:hAnsi="Arial" w:cs="Arial"/>
          <w:szCs w:val="22"/>
        </w:rPr>
      </w:pPr>
      <w:r w:rsidRPr="009A4159">
        <w:rPr>
          <w:rFonts w:ascii="Arial" w:hAnsi="Arial" w:cs="Arial"/>
          <w:szCs w:val="22"/>
        </w:rPr>
        <w:t>The business functions of contingent collectors and debt purchasers are exactly the same - the only difference between them relates to the ownership of the debt and other than this ownership distinction, the co</w:t>
      </w:r>
      <w:r>
        <w:rPr>
          <w:rFonts w:ascii="Arial" w:hAnsi="Arial" w:cs="Arial"/>
          <w:szCs w:val="22"/>
        </w:rPr>
        <w:t>llection processes are the same.</w:t>
      </w:r>
    </w:p>
    <w:p w:rsidR="00345E4D"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szCs w:val="22"/>
        </w:rPr>
      </w:pPr>
      <w:r>
        <w:rPr>
          <w:rFonts w:ascii="Arial" w:hAnsi="Arial" w:cs="Arial"/>
          <w:szCs w:val="22"/>
        </w:rPr>
        <w:t>Sector members with the opportunities afforded by technology (some of which requires significant capital investment) operate from professional offices which include dedicated call centres.</w:t>
      </w:r>
    </w:p>
    <w:p w:rsidR="00345E4D"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szCs w:val="22"/>
        </w:rPr>
      </w:pPr>
      <w:r>
        <w:rPr>
          <w:rFonts w:ascii="Arial" w:hAnsi="Arial" w:cs="Arial"/>
          <w:szCs w:val="22"/>
        </w:rPr>
        <w:t>S</w:t>
      </w:r>
      <w:r w:rsidRPr="00414159">
        <w:rPr>
          <w:rFonts w:ascii="Arial" w:hAnsi="Arial" w:cs="Arial"/>
          <w:szCs w:val="22"/>
        </w:rPr>
        <w:t xml:space="preserve">pecialist software adopted by the </w:t>
      </w:r>
      <w:r>
        <w:rPr>
          <w:rFonts w:ascii="Arial" w:hAnsi="Arial" w:cs="Arial"/>
          <w:szCs w:val="22"/>
        </w:rPr>
        <w:t>individual</w:t>
      </w:r>
      <w:r w:rsidRPr="00414159">
        <w:rPr>
          <w:rFonts w:ascii="Arial" w:hAnsi="Arial" w:cs="Arial"/>
          <w:szCs w:val="22"/>
        </w:rPr>
        <w:t xml:space="preserve"> business</w:t>
      </w:r>
      <w:r>
        <w:rPr>
          <w:rFonts w:ascii="Arial" w:hAnsi="Arial" w:cs="Arial"/>
          <w:szCs w:val="22"/>
        </w:rPr>
        <w:t>es</w:t>
      </w:r>
      <w:r w:rsidRPr="00414159">
        <w:rPr>
          <w:rFonts w:ascii="Arial" w:hAnsi="Arial" w:cs="Arial"/>
          <w:szCs w:val="22"/>
        </w:rPr>
        <w:t xml:space="preserve"> generate</w:t>
      </w:r>
      <w:r>
        <w:rPr>
          <w:rFonts w:ascii="Arial" w:hAnsi="Arial" w:cs="Arial"/>
          <w:szCs w:val="22"/>
        </w:rPr>
        <w:t>s and determines</w:t>
      </w:r>
      <w:r w:rsidRPr="00414159">
        <w:rPr>
          <w:rFonts w:ascii="Arial" w:hAnsi="Arial" w:cs="Arial"/>
          <w:szCs w:val="22"/>
        </w:rPr>
        <w:t xml:space="preserve"> the workflows for their staff.  Employees of </w:t>
      </w:r>
      <w:r>
        <w:rPr>
          <w:rFonts w:ascii="Arial" w:hAnsi="Arial" w:cs="Arial"/>
          <w:szCs w:val="22"/>
        </w:rPr>
        <w:t>sector</w:t>
      </w:r>
      <w:r w:rsidRPr="00414159">
        <w:rPr>
          <w:rFonts w:ascii="Arial" w:hAnsi="Arial" w:cs="Arial"/>
          <w:szCs w:val="22"/>
        </w:rPr>
        <w:t xml:space="preserve"> firms </w:t>
      </w:r>
      <w:r>
        <w:rPr>
          <w:rFonts w:ascii="Arial" w:hAnsi="Arial" w:cs="Arial"/>
          <w:szCs w:val="22"/>
        </w:rPr>
        <w:t xml:space="preserve">rarely if ever </w:t>
      </w:r>
      <w:r w:rsidRPr="00414159">
        <w:rPr>
          <w:rFonts w:ascii="Arial" w:hAnsi="Arial" w:cs="Arial"/>
          <w:szCs w:val="22"/>
        </w:rPr>
        <w:t>have any face to face contact with</w:t>
      </w:r>
      <w:r>
        <w:rPr>
          <w:rFonts w:ascii="Arial" w:hAnsi="Arial" w:cs="Arial"/>
          <w:szCs w:val="22"/>
        </w:rPr>
        <w:t xml:space="preserve"> consumers</w:t>
      </w:r>
      <w:r w:rsidRPr="00414159">
        <w:rPr>
          <w:rFonts w:ascii="Arial" w:hAnsi="Arial" w:cs="Arial"/>
          <w:szCs w:val="22"/>
        </w:rPr>
        <w:t>.</w:t>
      </w:r>
    </w:p>
    <w:p w:rsidR="00345E4D" w:rsidRPr="00414159"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szCs w:val="22"/>
        </w:rPr>
      </w:pPr>
      <w:r w:rsidRPr="00414159">
        <w:rPr>
          <w:rFonts w:ascii="Arial" w:hAnsi="Arial" w:cs="Arial"/>
          <w:szCs w:val="22"/>
        </w:rPr>
        <w:t xml:space="preserve">There is no standard collection process adopted across all portfolios of accounts or by the </w:t>
      </w:r>
      <w:r>
        <w:rPr>
          <w:rFonts w:ascii="Arial" w:hAnsi="Arial" w:cs="Arial"/>
          <w:szCs w:val="22"/>
        </w:rPr>
        <w:t>sector</w:t>
      </w:r>
      <w:r w:rsidRPr="00414159">
        <w:rPr>
          <w:rFonts w:ascii="Arial" w:hAnsi="Arial" w:cs="Arial"/>
          <w:szCs w:val="22"/>
        </w:rPr>
        <w:t>, instead the specific strategy adopted by collection firms for the recovery of individual debts is dependent upon a variety of factors including but not necessarily limited to:</w:t>
      </w:r>
    </w:p>
    <w:p w:rsidR="00345E4D" w:rsidRPr="00E37CA8" w:rsidRDefault="00345E4D" w:rsidP="00A913BF">
      <w:pPr>
        <w:pStyle w:val="ListParagraph"/>
        <w:numPr>
          <w:ilvl w:val="0"/>
          <w:numId w:val="9"/>
        </w:numPr>
        <w:spacing w:after="200" w:line="276" w:lineRule="auto"/>
        <w:rPr>
          <w:rFonts w:ascii="Arial" w:hAnsi="Arial" w:cs="Arial"/>
          <w:szCs w:val="22"/>
        </w:rPr>
      </w:pPr>
      <w:r w:rsidRPr="00E37CA8">
        <w:rPr>
          <w:rFonts w:ascii="Arial" w:hAnsi="Arial" w:cs="Arial"/>
          <w:szCs w:val="22"/>
        </w:rPr>
        <w:t>The size and age of the account;</w:t>
      </w:r>
    </w:p>
    <w:p w:rsidR="00345E4D" w:rsidRPr="00E37CA8" w:rsidRDefault="00345E4D" w:rsidP="00A913BF">
      <w:pPr>
        <w:pStyle w:val="ListParagraph"/>
        <w:numPr>
          <w:ilvl w:val="0"/>
          <w:numId w:val="9"/>
        </w:numPr>
        <w:spacing w:after="200" w:line="276" w:lineRule="auto"/>
        <w:rPr>
          <w:rFonts w:ascii="Arial" w:hAnsi="Arial" w:cs="Arial"/>
          <w:szCs w:val="22"/>
        </w:rPr>
      </w:pPr>
      <w:r w:rsidRPr="00E37CA8">
        <w:rPr>
          <w:rFonts w:ascii="Arial" w:hAnsi="Arial" w:cs="Arial"/>
          <w:szCs w:val="22"/>
        </w:rPr>
        <w:t>The basis of collections, whether being undertaken on a third party or first party basis; and</w:t>
      </w:r>
    </w:p>
    <w:p w:rsidR="00345E4D" w:rsidRPr="00E37CA8" w:rsidRDefault="00345E4D" w:rsidP="00A913BF">
      <w:pPr>
        <w:pStyle w:val="ListParagraph"/>
        <w:numPr>
          <w:ilvl w:val="0"/>
          <w:numId w:val="9"/>
        </w:numPr>
        <w:spacing w:after="200" w:line="276" w:lineRule="auto"/>
        <w:rPr>
          <w:rFonts w:ascii="Arial" w:hAnsi="Arial" w:cs="Arial"/>
          <w:szCs w:val="22"/>
        </w:rPr>
      </w:pPr>
      <w:r w:rsidRPr="00E37CA8">
        <w:rPr>
          <w:rFonts w:ascii="Arial" w:hAnsi="Arial" w:cs="Arial"/>
          <w:szCs w:val="22"/>
        </w:rPr>
        <w:t>The instructions of the specific client.</w:t>
      </w:r>
    </w:p>
    <w:p w:rsidR="00345E4D" w:rsidRPr="00E37CA8" w:rsidRDefault="00345E4D" w:rsidP="00411141">
      <w:pPr>
        <w:rPr>
          <w:rFonts w:ascii="Arial" w:hAnsi="Arial" w:cs="Arial"/>
          <w:szCs w:val="22"/>
        </w:rPr>
      </w:pPr>
      <w:r w:rsidRPr="00E37CA8">
        <w:rPr>
          <w:rFonts w:ascii="Arial" w:hAnsi="Arial" w:cs="Arial"/>
          <w:szCs w:val="22"/>
        </w:rPr>
        <w:t>The main methodologies adopted are:</w:t>
      </w:r>
    </w:p>
    <w:p w:rsidR="00345E4D" w:rsidRPr="00E37CA8" w:rsidRDefault="00345E4D" w:rsidP="00A913BF">
      <w:pPr>
        <w:pStyle w:val="ListParagraph"/>
        <w:numPr>
          <w:ilvl w:val="0"/>
          <w:numId w:val="10"/>
        </w:numPr>
        <w:spacing w:after="200" w:line="276" w:lineRule="auto"/>
        <w:rPr>
          <w:rFonts w:ascii="Arial" w:hAnsi="Arial" w:cs="Arial"/>
          <w:szCs w:val="22"/>
        </w:rPr>
      </w:pPr>
      <w:r w:rsidRPr="00E37CA8">
        <w:rPr>
          <w:rFonts w:ascii="Arial" w:hAnsi="Arial" w:cs="Arial"/>
          <w:szCs w:val="22"/>
        </w:rPr>
        <w:t>Issuing written demands for payment;</w:t>
      </w:r>
    </w:p>
    <w:p w:rsidR="00345E4D" w:rsidRPr="00E37CA8" w:rsidRDefault="00345E4D" w:rsidP="00A913BF">
      <w:pPr>
        <w:pStyle w:val="ListParagraph"/>
        <w:numPr>
          <w:ilvl w:val="0"/>
          <w:numId w:val="10"/>
        </w:numPr>
        <w:spacing w:after="200" w:line="276" w:lineRule="auto"/>
        <w:rPr>
          <w:rFonts w:ascii="Arial" w:hAnsi="Arial" w:cs="Arial"/>
          <w:szCs w:val="22"/>
        </w:rPr>
      </w:pPr>
      <w:r w:rsidRPr="00E37CA8">
        <w:rPr>
          <w:rFonts w:ascii="Arial" w:hAnsi="Arial" w:cs="Arial"/>
          <w:szCs w:val="22"/>
        </w:rPr>
        <w:t>Contacting the debtor by telephone to demand payment; and</w:t>
      </w:r>
    </w:p>
    <w:p w:rsidR="00345E4D" w:rsidRPr="00E37CA8" w:rsidRDefault="00345E4D" w:rsidP="00A913BF">
      <w:pPr>
        <w:pStyle w:val="ListParagraph"/>
        <w:numPr>
          <w:ilvl w:val="0"/>
          <w:numId w:val="10"/>
        </w:numPr>
        <w:spacing w:after="200" w:line="276" w:lineRule="auto"/>
        <w:rPr>
          <w:rFonts w:ascii="Arial" w:hAnsi="Arial" w:cs="Arial"/>
          <w:szCs w:val="22"/>
        </w:rPr>
      </w:pPr>
      <w:r w:rsidRPr="00E37CA8">
        <w:rPr>
          <w:rFonts w:ascii="Arial" w:hAnsi="Arial" w:cs="Arial"/>
          <w:szCs w:val="22"/>
        </w:rPr>
        <w:t>Instigating legal action to recover payment.</w:t>
      </w:r>
    </w:p>
    <w:p w:rsidR="00345E4D" w:rsidRDefault="00345E4D" w:rsidP="00411141">
      <w:pPr>
        <w:spacing w:line="288" w:lineRule="auto"/>
        <w:rPr>
          <w:rFonts w:ascii="Arial" w:hAnsi="Arial" w:cs="Arial"/>
          <w:szCs w:val="22"/>
        </w:rPr>
      </w:pPr>
      <w:r w:rsidRPr="00E37CA8">
        <w:rPr>
          <w:rFonts w:ascii="Arial" w:hAnsi="Arial" w:cs="Arial"/>
          <w:szCs w:val="22"/>
        </w:rPr>
        <w:t xml:space="preserve">Each activity includes an invitation to the debtor to discuss/explore opportunities with the collector to resolve payment of the outstanding account.  Negotiation commences with a clear courteous demand for immediate payment of the account in full. </w:t>
      </w:r>
    </w:p>
    <w:p w:rsidR="00345E4D" w:rsidRDefault="00345E4D" w:rsidP="00411141">
      <w:pPr>
        <w:spacing w:line="288" w:lineRule="auto"/>
        <w:rPr>
          <w:rFonts w:ascii="Arial" w:hAnsi="Arial" w:cs="Arial"/>
          <w:szCs w:val="22"/>
        </w:rPr>
      </w:pPr>
    </w:p>
    <w:p w:rsidR="00345E4D" w:rsidRDefault="00345E4D" w:rsidP="00411141">
      <w:pPr>
        <w:spacing w:line="288" w:lineRule="auto"/>
        <w:rPr>
          <w:rFonts w:ascii="Arial" w:hAnsi="Arial" w:cs="Arial"/>
          <w:szCs w:val="22"/>
        </w:rPr>
      </w:pPr>
      <w:r w:rsidRPr="00E37CA8">
        <w:rPr>
          <w:rFonts w:ascii="Arial" w:hAnsi="Arial" w:cs="Arial"/>
          <w:szCs w:val="22"/>
        </w:rPr>
        <w:t xml:space="preserve">When </w:t>
      </w:r>
      <w:r>
        <w:rPr>
          <w:rFonts w:ascii="Arial" w:hAnsi="Arial" w:cs="Arial"/>
          <w:szCs w:val="22"/>
        </w:rPr>
        <w:t>first contacting</w:t>
      </w:r>
      <w:r w:rsidRPr="00E37CA8">
        <w:rPr>
          <w:rFonts w:ascii="Arial" w:hAnsi="Arial" w:cs="Arial"/>
          <w:szCs w:val="22"/>
        </w:rPr>
        <w:t xml:space="preserve"> </w:t>
      </w:r>
      <w:r>
        <w:rPr>
          <w:rFonts w:ascii="Arial" w:hAnsi="Arial" w:cs="Arial"/>
          <w:szCs w:val="22"/>
        </w:rPr>
        <w:t xml:space="preserve">a debtor </w:t>
      </w:r>
      <w:r w:rsidRPr="00E37CA8">
        <w:rPr>
          <w:rFonts w:ascii="Arial" w:hAnsi="Arial" w:cs="Arial"/>
          <w:szCs w:val="22"/>
        </w:rPr>
        <w:t>in relation to an outstanding account, a collector will have the following objectives:</w:t>
      </w:r>
    </w:p>
    <w:p w:rsidR="00345E4D" w:rsidRPr="00E37CA8" w:rsidRDefault="00345E4D" w:rsidP="00411141">
      <w:pPr>
        <w:spacing w:line="288" w:lineRule="auto"/>
        <w:rPr>
          <w:rFonts w:ascii="Arial" w:hAnsi="Arial" w:cs="Arial"/>
          <w:szCs w:val="22"/>
        </w:rPr>
      </w:pPr>
    </w:p>
    <w:p w:rsidR="00345E4D" w:rsidRPr="00E37CA8" w:rsidRDefault="00345E4D" w:rsidP="00A913BF">
      <w:pPr>
        <w:pStyle w:val="ListParagraph"/>
        <w:numPr>
          <w:ilvl w:val="0"/>
          <w:numId w:val="8"/>
        </w:numPr>
        <w:spacing w:after="200" w:line="288" w:lineRule="auto"/>
        <w:ind w:left="709" w:hanging="283"/>
        <w:rPr>
          <w:rFonts w:ascii="Arial" w:hAnsi="Arial" w:cs="Arial"/>
          <w:szCs w:val="22"/>
        </w:rPr>
      </w:pPr>
      <w:r w:rsidRPr="00E37CA8">
        <w:rPr>
          <w:rFonts w:ascii="Arial" w:hAnsi="Arial" w:cs="Arial"/>
          <w:szCs w:val="22"/>
        </w:rPr>
        <w:t>To make contact with the correct debtor and confirm proof of identity details;</w:t>
      </w:r>
    </w:p>
    <w:p w:rsidR="00345E4D" w:rsidRPr="00E37CA8" w:rsidRDefault="00345E4D" w:rsidP="00A913BF">
      <w:pPr>
        <w:pStyle w:val="ListParagraph"/>
        <w:numPr>
          <w:ilvl w:val="0"/>
          <w:numId w:val="8"/>
        </w:numPr>
        <w:spacing w:after="200" w:line="288" w:lineRule="auto"/>
        <w:ind w:left="709" w:hanging="283"/>
        <w:rPr>
          <w:rFonts w:ascii="Arial" w:hAnsi="Arial" w:cs="Arial"/>
          <w:szCs w:val="22"/>
        </w:rPr>
      </w:pPr>
      <w:r w:rsidRPr="00E37CA8">
        <w:rPr>
          <w:rFonts w:ascii="Arial" w:hAnsi="Arial" w:cs="Arial"/>
          <w:szCs w:val="22"/>
        </w:rPr>
        <w:t>To demand payment;</w:t>
      </w:r>
    </w:p>
    <w:p w:rsidR="00345E4D" w:rsidRPr="00E37CA8" w:rsidRDefault="00345E4D" w:rsidP="00A913BF">
      <w:pPr>
        <w:pStyle w:val="ListParagraph"/>
        <w:numPr>
          <w:ilvl w:val="0"/>
          <w:numId w:val="8"/>
        </w:numPr>
        <w:spacing w:after="200" w:line="288" w:lineRule="auto"/>
        <w:ind w:left="709" w:hanging="283"/>
        <w:rPr>
          <w:rFonts w:ascii="Arial" w:hAnsi="Arial" w:cs="Arial"/>
          <w:szCs w:val="22"/>
        </w:rPr>
      </w:pPr>
      <w:r w:rsidRPr="00E37CA8">
        <w:rPr>
          <w:rFonts w:ascii="Arial" w:hAnsi="Arial" w:cs="Arial"/>
          <w:szCs w:val="22"/>
        </w:rPr>
        <w:t>To assess the intent and capacity of the debtor to pay;</w:t>
      </w:r>
    </w:p>
    <w:p w:rsidR="00345E4D" w:rsidRPr="00E37CA8" w:rsidRDefault="00345E4D" w:rsidP="00A913BF">
      <w:pPr>
        <w:pStyle w:val="ListParagraph"/>
        <w:numPr>
          <w:ilvl w:val="0"/>
          <w:numId w:val="8"/>
        </w:numPr>
        <w:spacing w:after="200" w:line="288" w:lineRule="auto"/>
        <w:ind w:left="709" w:hanging="283"/>
        <w:rPr>
          <w:rFonts w:ascii="Arial" w:hAnsi="Arial" w:cs="Arial"/>
          <w:szCs w:val="22"/>
        </w:rPr>
      </w:pPr>
      <w:r w:rsidRPr="00E37CA8">
        <w:rPr>
          <w:rFonts w:ascii="Arial" w:hAnsi="Arial" w:cs="Arial"/>
          <w:szCs w:val="22"/>
        </w:rPr>
        <w:t>To discuss and explore any issues with the debtor in relation to the account including the debtor’s financial state; and</w:t>
      </w:r>
    </w:p>
    <w:p w:rsidR="00345E4D" w:rsidRPr="00E37CA8" w:rsidRDefault="00345E4D" w:rsidP="00A913BF">
      <w:pPr>
        <w:pStyle w:val="ListParagraph"/>
        <w:numPr>
          <w:ilvl w:val="0"/>
          <w:numId w:val="8"/>
        </w:numPr>
        <w:spacing w:after="200" w:line="288" w:lineRule="auto"/>
        <w:ind w:left="709" w:hanging="283"/>
        <w:rPr>
          <w:rFonts w:ascii="Arial" w:hAnsi="Arial" w:cs="Arial"/>
          <w:szCs w:val="22"/>
        </w:rPr>
      </w:pPr>
      <w:r w:rsidRPr="00E37CA8">
        <w:rPr>
          <w:rFonts w:ascii="Arial" w:hAnsi="Arial" w:cs="Arial"/>
          <w:szCs w:val="22"/>
        </w:rPr>
        <w:t>To assess the viability for legal action in the event the debtor does not pay.</w:t>
      </w:r>
    </w:p>
    <w:p w:rsidR="00345E4D" w:rsidRDefault="00345E4D" w:rsidP="00411141">
      <w:pPr>
        <w:spacing w:line="288" w:lineRule="auto"/>
        <w:rPr>
          <w:rFonts w:ascii="Arial" w:hAnsi="Arial" w:cs="Arial"/>
          <w:szCs w:val="22"/>
        </w:rPr>
      </w:pPr>
      <w:r>
        <w:rPr>
          <w:rFonts w:ascii="Arial" w:hAnsi="Arial" w:cs="Arial"/>
          <w:szCs w:val="22"/>
        </w:rPr>
        <w:t>W</w:t>
      </w:r>
      <w:r w:rsidRPr="00E37CA8">
        <w:rPr>
          <w:rFonts w:ascii="Arial" w:hAnsi="Arial" w:cs="Arial"/>
          <w:szCs w:val="22"/>
        </w:rPr>
        <w:t>here immediate full payment cannot be made by the debtor, a general negotiation follows and typically progresses through the options of:</w:t>
      </w:r>
    </w:p>
    <w:p w:rsidR="00345E4D" w:rsidRPr="00E37CA8" w:rsidRDefault="00345E4D" w:rsidP="00411141">
      <w:pPr>
        <w:rPr>
          <w:rFonts w:ascii="Arial" w:hAnsi="Arial" w:cs="Arial"/>
          <w:szCs w:val="22"/>
        </w:rPr>
      </w:pPr>
    </w:p>
    <w:p w:rsidR="00345E4D" w:rsidRPr="00E37CA8" w:rsidRDefault="00345E4D" w:rsidP="00A913BF">
      <w:pPr>
        <w:pStyle w:val="ListParagraph"/>
        <w:numPr>
          <w:ilvl w:val="0"/>
          <w:numId w:val="11"/>
        </w:numPr>
        <w:spacing w:after="200" w:line="276" w:lineRule="auto"/>
        <w:rPr>
          <w:rFonts w:ascii="Arial" w:hAnsi="Arial" w:cs="Arial"/>
          <w:szCs w:val="22"/>
        </w:rPr>
      </w:pPr>
      <w:r w:rsidRPr="00E37CA8">
        <w:rPr>
          <w:rFonts w:ascii="Arial" w:hAnsi="Arial" w:cs="Arial"/>
          <w:szCs w:val="22"/>
        </w:rPr>
        <w:t>A request to pay the full amount immediately or soon;</w:t>
      </w:r>
    </w:p>
    <w:p w:rsidR="00345E4D" w:rsidRPr="00E37CA8" w:rsidRDefault="00345E4D" w:rsidP="00A913BF">
      <w:pPr>
        <w:pStyle w:val="ListParagraph"/>
        <w:numPr>
          <w:ilvl w:val="0"/>
          <w:numId w:val="11"/>
        </w:numPr>
        <w:spacing w:after="200" w:line="276" w:lineRule="auto"/>
        <w:rPr>
          <w:rFonts w:ascii="Arial" w:hAnsi="Arial" w:cs="Arial"/>
          <w:szCs w:val="22"/>
        </w:rPr>
      </w:pPr>
      <w:r w:rsidRPr="00E37CA8">
        <w:rPr>
          <w:rFonts w:ascii="Arial" w:hAnsi="Arial" w:cs="Arial"/>
          <w:szCs w:val="22"/>
        </w:rPr>
        <w:t>An invitation to pay an immediate lump sum payment with a short payment arrangement period in the event of genuine financial difficulty; and</w:t>
      </w:r>
    </w:p>
    <w:p w:rsidR="00345E4D" w:rsidRPr="00E37CA8" w:rsidRDefault="00345E4D" w:rsidP="00A913BF">
      <w:pPr>
        <w:pStyle w:val="ListParagraph"/>
        <w:numPr>
          <w:ilvl w:val="0"/>
          <w:numId w:val="11"/>
        </w:numPr>
        <w:spacing w:after="200" w:line="276" w:lineRule="auto"/>
        <w:rPr>
          <w:rFonts w:ascii="Arial" w:hAnsi="Arial" w:cs="Arial"/>
          <w:szCs w:val="22"/>
        </w:rPr>
      </w:pPr>
      <w:r w:rsidRPr="00E37CA8">
        <w:rPr>
          <w:rFonts w:ascii="Arial" w:hAnsi="Arial" w:cs="Arial"/>
          <w:szCs w:val="22"/>
        </w:rPr>
        <w:t>Assessing the debtor’s capacity and intent to pay prior to the collector considering longer term arrangements – this last option is based upon confirmation the debtor is willing but unable to pay in full.</w:t>
      </w:r>
    </w:p>
    <w:p w:rsidR="00345E4D" w:rsidRDefault="00345E4D" w:rsidP="00411141">
      <w:pPr>
        <w:spacing w:line="288" w:lineRule="auto"/>
        <w:rPr>
          <w:rFonts w:ascii="Arial" w:hAnsi="Arial" w:cs="Arial"/>
          <w:szCs w:val="22"/>
        </w:rPr>
      </w:pPr>
      <w:r w:rsidRPr="00E37CA8">
        <w:rPr>
          <w:rFonts w:ascii="Arial" w:hAnsi="Arial" w:cs="Arial"/>
          <w:szCs w:val="22"/>
        </w:rPr>
        <w:t xml:space="preserve">The processes followed in the collection of an account can be multi-faceted and </w:t>
      </w:r>
      <w:r>
        <w:rPr>
          <w:rFonts w:ascii="Arial" w:hAnsi="Arial" w:cs="Arial"/>
          <w:szCs w:val="22"/>
        </w:rPr>
        <w:t xml:space="preserve">are </w:t>
      </w:r>
      <w:r w:rsidRPr="00E37CA8">
        <w:rPr>
          <w:rFonts w:ascii="Arial" w:hAnsi="Arial" w:cs="Arial"/>
          <w:szCs w:val="22"/>
        </w:rPr>
        <w:t>ultimately dependent upon the responses or otherwise from the debtor when contacted.</w:t>
      </w:r>
    </w:p>
    <w:p w:rsidR="00345E4D" w:rsidRDefault="00345E4D" w:rsidP="00411141">
      <w:pPr>
        <w:spacing w:line="288" w:lineRule="auto"/>
      </w:pPr>
    </w:p>
    <w:p w:rsidR="00345E4D" w:rsidRDefault="00345E4D">
      <w:pPr>
        <w:jc w:val="left"/>
        <w:rPr>
          <w:rFonts w:ascii="Arial" w:hAnsi="Arial" w:cs="Arial"/>
        </w:rPr>
      </w:pPr>
      <w:r>
        <w:rPr>
          <w:rFonts w:ascii="Arial" w:hAnsi="Arial" w:cs="Arial"/>
        </w:rPr>
        <w:br w:type="page"/>
      </w:r>
    </w:p>
    <w:p w:rsidR="00345E4D" w:rsidRDefault="00345E4D" w:rsidP="002F55FB">
      <w:pPr>
        <w:pStyle w:val="Heading1"/>
        <w:rPr>
          <w:rFonts w:cs="Arial"/>
          <w:b/>
          <w:sz w:val="24"/>
          <w:szCs w:val="24"/>
        </w:rPr>
      </w:pPr>
      <w:bookmarkStart w:id="36" w:name="_Toc310510848"/>
      <w:r w:rsidRPr="002F55FB">
        <w:t>Annexure D</w:t>
      </w:r>
      <w:r w:rsidRPr="002F55FB">
        <w:tab/>
      </w:r>
      <w:r>
        <w:rPr>
          <w:sz w:val="24"/>
        </w:rPr>
        <w:tab/>
      </w:r>
      <w:r>
        <w:t>Training</w:t>
      </w:r>
      <w:bookmarkEnd w:id="36"/>
    </w:p>
    <w:p w:rsidR="00345E4D" w:rsidRDefault="00345E4D" w:rsidP="006C3410">
      <w:pPr>
        <w:autoSpaceDE w:val="0"/>
        <w:autoSpaceDN w:val="0"/>
        <w:adjustRightInd w:val="0"/>
        <w:spacing w:line="288" w:lineRule="auto"/>
        <w:rPr>
          <w:rFonts w:ascii="Arial" w:hAnsi="Arial" w:cs="Arial"/>
          <w:szCs w:val="22"/>
        </w:rPr>
      </w:pPr>
      <w:r>
        <w:rPr>
          <w:rFonts w:ascii="Arial" w:hAnsi="Arial" w:cs="Arial"/>
          <w:szCs w:val="22"/>
        </w:rPr>
        <w:t>Currently, t</w:t>
      </w:r>
      <w:r w:rsidRPr="007C21B8">
        <w:rPr>
          <w:rFonts w:ascii="Arial" w:hAnsi="Arial" w:cs="Arial"/>
          <w:szCs w:val="22"/>
        </w:rPr>
        <w:t xml:space="preserve">raining obligations for the </w:t>
      </w:r>
      <w:r>
        <w:rPr>
          <w:rFonts w:ascii="Arial" w:hAnsi="Arial" w:cs="Arial"/>
          <w:szCs w:val="22"/>
        </w:rPr>
        <w:t>Collections sector</w:t>
      </w:r>
      <w:r w:rsidRPr="007C21B8">
        <w:rPr>
          <w:rFonts w:ascii="Arial" w:hAnsi="Arial" w:cs="Arial"/>
          <w:szCs w:val="22"/>
        </w:rPr>
        <w:t xml:space="preserve"> across State and Territory jurisdictions vary from the Code of Conduct approach taken in Queensland, which places a positive onus on businesses to ensure a commercial agent has a reasonable knowledge and understanding of PAMDA and the Code</w:t>
      </w:r>
      <w:r w:rsidRPr="007C21B8">
        <w:rPr>
          <w:rStyle w:val="FootnoteReference"/>
          <w:rFonts w:ascii="Arial" w:hAnsi="Arial" w:cs="Arial"/>
          <w:szCs w:val="22"/>
        </w:rPr>
        <w:footnoteReference w:id="15"/>
      </w:r>
      <w:r w:rsidRPr="007C21B8">
        <w:rPr>
          <w:rFonts w:ascii="Arial" w:hAnsi="Arial" w:cs="Arial"/>
          <w:szCs w:val="22"/>
        </w:rPr>
        <w:t xml:space="preserve"> to no specific requirements, as is currently the situation in</w:t>
      </w:r>
      <w:r>
        <w:rPr>
          <w:rFonts w:ascii="Arial" w:hAnsi="Arial" w:cs="Arial"/>
          <w:szCs w:val="22"/>
        </w:rPr>
        <w:t xml:space="preserve"> a number of jurisdictions such as</w:t>
      </w:r>
      <w:r w:rsidRPr="007C21B8">
        <w:rPr>
          <w:rFonts w:ascii="Arial" w:hAnsi="Arial" w:cs="Arial"/>
          <w:szCs w:val="22"/>
        </w:rPr>
        <w:t xml:space="preserve"> Victoria.</w:t>
      </w:r>
    </w:p>
    <w:p w:rsidR="00345E4D" w:rsidRPr="007C21B8"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sidRPr="007C21B8">
        <w:rPr>
          <w:rFonts w:ascii="Arial" w:hAnsi="Arial" w:cs="Arial"/>
          <w:szCs w:val="22"/>
        </w:rPr>
        <w:t>In NSW collectors are required to complete modules from the Financial Services (Mercantile Agents) Certificate III qualification</w:t>
      </w:r>
      <w:r>
        <w:rPr>
          <w:rFonts w:ascii="Arial" w:hAnsi="Arial" w:cs="Arial"/>
          <w:szCs w:val="22"/>
        </w:rPr>
        <w:t xml:space="preserve"> of the national training framework</w:t>
      </w:r>
      <w:r w:rsidRPr="007C21B8">
        <w:rPr>
          <w:rFonts w:ascii="Arial" w:hAnsi="Arial" w:cs="Arial"/>
          <w:szCs w:val="22"/>
        </w:rPr>
        <w:t xml:space="preserve">. </w:t>
      </w:r>
      <w:r>
        <w:rPr>
          <w:rFonts w:ascii="Arial" w:hAnsi="Arial" w:cs="Arial"/>
          <w:szCs w:val="22"/>
        </w:rPr>
        <w:t xml:space="preserve"> </w:t>
      </w:r>
      <w:r w:rsidRPr="007C21B8">
        <w:rPr>
          <w:rFonts w:ascii="Arial" w:hAnsi="Arial" w:cs="Arial"/>
          <w:szCs w:val="22"/>
        </w:rPr>
        <w:t xml:space="preserve">ACDBA </w:t>
      </w:r>
      <w:r>
        <w:rPr>
          <w:rFonts w:ascii="Arial" w:hAnsi="Arial" w:cs="Arial"/>
          <w:szCs w:val="22"/>
        </w:rPr>
        <w:t>members mostly regard</w:t>
      </w:r>
      <w:r w:rsidRPr="007C21B8">
        <w:rPr>
          <w:rFonts w:ascii="Arial" w:hAnsi="Arial" w:cs="Arial"/>
          <w:szCs w:val="22"/>
        </w:rPr>
        <w:t xml:space="preserve"> this </w:t>
      </w:r>
      <w:r>
        <w:rPr>
          <w:rFonts w:ascii="Arial" w:hAnsi="Arial" w:cs="Arial"/>
          <w:szCs w:val="22"/>
        </w:rPr>
        <w:t xml:space="preserve">specific </w:t>
      </w:r>
      <w:r w:rsidRPr="007C21B8">
        <w:rPr>
          <w:rFonts w:ascii="Arial" w:hAnsi="Arial" w:cs="Arial"/>
          <w:szCs w:val="22"/>
        </w:rPr>
        <w:t xml:space="preserve">requirement </w:t>
      </w:r>
      <w:r>
        <w:rPr>
          <w:rFonts w:ascii="Arial" w:hAnsi="Arial" w:cs="Arial"/>
          <w:szCs w:val="22"/>
        </w:rPr>
        <w:t>to be</w:t>
      </w:r>
      <w:r w:rsidRPr="007C21B8">
        <w:rPr>
          <w:rFonts w:ascii="Arial" w:hAnsi="Arial" w:cs="Arial"/>
          <w:szCs w:val="22"/>
        </w:rPr>
        <w:t xml:space="preserve"> excessive, counter-productive and </w:t>
      </w:r>
      <w:r>
        <w:rPr>
          <w:rFonts w:ascii="Arial" w:hAnsi="Arial" w:cs="Arial"/>
          <w:szCs w:val="22"/>
        </w:rPr>
        <w:t>a significant impediment to</w:t>
      </w:r>
      <w:r w:rsidRPr="007C21B8">
        <w:rPr>
          <w:rFonts w:ascii="Arial" w:hAnsi="Arial" w:cs="Arial"/>
          <w:szCs w:val="22"/>
        </w:rPr>
        <w:t xml:space="preserve"> the ability</w:t>
      </w:r>
      <w:r>
        <w:rPr>
          <w:rFonts w:ascii="Arial" w:hAnsi="Arial" w:cs="Arial"/>
          <w:szCs w:val="22"/>
        </w:rPr>
        <w:t xml:space="preserve"> of the Collections sector</w:t>
      </w:r>
      <w:r w:rsidRPr="007C21B8">
        <w:rPr>
          <w:rFonts w:ascii="Arial" w:hAnsi="Arial" w:cs="Arial"/>
          <w:szCs w:val="22"/>
        </w:rPr>
        <w:t xml:space="preserve"> to employ staff in that state.</w:t>
      </w:r>
    </w:p>
    <w:p w:rsidR="00345E4D" w:rsidRPr="007C21B8"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Pr>
          <w:rFonts w:ascii="Arial" w:hAnsi="Arial" w:cs="Arial"/>
          <w:szCs w:val="22"/>
        </w:rPr>
        <w:t>ACDBA’s</w:t>
      </w:r>
      <w:r w:rsidRPr="007C21B8">
        <w:rPr>
          <w:rFonts w:ascii="Arial" w:hAnsi="Arial" w:cs="Arial"/>
          <w:szCs w:val="22"/>
        </w:rPr>
        <w:t xml:space="preserve"> perspective</w:t>
      </w:r>
      <w:r>
        <w:rPr>
          <w:rFonts w:ascii="Arial" w:hAnsi="Arial" w:cs="Arial"/>
          <w:szCs w:val="22"/>
        </w:rPr>
        <w:t xml:space="preserve"> is </w:t>
      </w:r>
      <w:r w:rsidRPr="007C21B8">
        <w:rPr>
          <w:rFonts w:ascii="Arial" w:hAnsi="Arial" w:cs="Arial"/>
          <w:szCs w:val="22"/>
        </w:rPr>
        <w:t xml:space="preserve">it is appropriate </w:t>
      </w:r>
      <w:r>
        <w:rPr>
          <w:rFonts w:ascii="Arial" w:hAnsi="Arial" w:cs="Arial"/>
          <w:szCs w:val="22"/>
        </w:rPr>
        <w:t xml:space="preserve">any </w:t>
      </w:r>
      <w:r w:rsidRPr="007C21B8">
        <w:rPr>
          <w:rFonts w:ascii="Arial" w:hAnsi="Arial" w:cs="Arial"/>
          <w:szCs w:val="22"/>
        </w:rPr>
        <w:t>training regulations</w:t>
      </w:r>
      <w:r>
        <w:rPr>
          <w:rFonts w:ascii="Arial" w:hAnsi="Arial" w:cs="Arial"/>
          <w:szCs w:val="22"/>
        </w:rPr>
        <w:t xml:space="preserve"> for the Collections sector should always </w:t>
      </w:r>
      <w:r w:rsidRPr="007C21B8">
        <w:rPr>
          <w:rFonts w:ascii="Arial" w:hAnsi="Arial" w:cs="Arial"/>
          <w:szCs w:val="22"/>
        </w:rPr>
        <w:t xml:space="preserve">be relevant and cost effective and further that any prescribed training </w:t>
      </w:r>
      <w:r>
        <w:rPr>
          <w:rFonts w:ascii="Arial" w:hAnsi="Arial" w:cs="Arial"/>
          <w:szCs w:val="22"/>
        </w:rPr>
        <w:t xml:space="preserve">ought to </w:t>
      </w:r>
      <w:r w:rsidRPr="007C21B8">
        <w:rPr>
          <w:rFonts w:ascii="Arial" w:hAnsi="Arial" w:cs="Arial"/>
          <w:szCs w:val="22"/>
        </w:rPr>
        <w:t xml:space="preserve">be accessible, especially given the issue of staff turnover.  </w:t>
      </w:r>
      <w:r>
        <w:rPr>
          <w:rFonts w:ascii="Arial" w:hAnsi="Arial" w:cs="Arial"/>
          <w:szCs w:val="22"/>
        </w:rPr>
        <w:t xml:space="preserve">As an example, </w:t>
      </w:r>
      <w:r w:rsidRPr="007C21B8">
        <w:rPr>
          <w:rFonts w:ascii="Arial" w:hAnsi="Arial" w:cs="Arial"/>
          <w:szCs w:val="22"/>
        </w:rPr>
        <w:t xml:space="preserve">ACDBA members indicate new staff turnover in NSW can range from a minimum of 35% to in excess of 60% of any intake.  </w:t>
      </w:r>
    </w:p>
    <w:p w:rsidR="00345E4D" w:rsidRPr="007C21B8"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sidRPr="007C21B8">
        <w:rPr>
          <w:rFonts w:ascii="Arial" w:hAnsi="Arial" w:cs="Arial"/>
          <w:szCs w:val="22"/>
        </w:rPr>
        <w:t xml:space="preserve">Putting aside the regulatory requirements which vary across jurisdictions, the </w:t>
      </w:r>
      <w:r>
        <w:rPr>
          <w:rFonts w:ascii="Arial" w:hAnsi="Arial" w:cs="Arial"/>
          <w:szCs w:val="22"/>
        </w:rPr>
        <w:t>Collections sector</w:t>
      </w:r>
      <w:r w:rsidRPr="007C21B8">
        <w:rPr>
          <w:rFonts w:ascii="Arial" w:hAnsi="Arial" w:cs="Arial"/>
          <w:szCs w:val="22"/>
        </w:rPr>
        <w:t xml:space="preserve"> </w:t>
      </w:r>
      <w:r>
        <w:rPr>
          <w:rFonts w:ascii="Arial" w:hAnsi="Arial" w:cs="Arial"/>
          <w:szCs w:val="22"/>
        </w:rPr>
        <w:t xml:space="preserve">already </w:t>
      </w:r>
      <w:r w:rsidRPr="007C21B8">
        <w:rPr>
          <w:rFonts w:ascii="Arial" w:hAnsi="Arial" w:cs="Arial"/>
          <w:szCs w:val="22"/>
        </w:rPr>
        <w:t xml:space="preserve">embraces effective training of its workforce, based upon compliance, quality and performance management outcomes. </w:t>
      </w:r>
    </w:p>
    <w:p w:rsidR="00345E4D"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Pr>
          <w:rFonts w:ascii="Arial" w:hAnsi="Arial" w:cs="Arial"/>
          <w:szCs w:val="22"/>
        </w:rPr>
        <w:t>Our</w:t>
      </w:r>
      <w:r w:rsidRPr="007C21B8">
        <w:rPr>
          <w:rFonts w:ascii="Arial" w:hAnsi="Arial" w:cs="Arial"/>
          <w:szCs w:val="22"/>
        </w:rPr>
        <w:t xml:space="preserve"> members believe effective training should</w:t>
      </w:r>
      <w:r>
        <w:rPr>
          <w:rFonts w:ascii="Arial" w:hAnsi="Arial" w:cs="Arial"/>
          <w:szCs w:val="22"/>
        </w:rPr>
        <w:t xml:space="preserve"> always be</w:t>
      </w:r>
      <w:r w:rsidRPr="007C21B8">
        <w:rPr>
          <w:rFonts w:ascii="Arial" w:hAnsi="Arial" w:cs="Arial"/>
          <w:szCs w:val="22"/>
        </w:rPr>
        <w:t>:</w:t>
      </w:r>
    </w:p>
    <w:p w:rsidR="00345E4D" w:rsidRDefault="00345E4D" w:rsidP="006C3410">
      <w:pPr>
        <w:autoSpaceDE w:val="0"/>
        <w:autoSpaceDN w:val="0"/>
        <w:adjustRightInd w:val="0"/>
        <w:spacing w:line="288" w:lineRule="auto"/>
        <w:rPr>
          <w:rFonts w:ascii="Arial" w:hAnsi="Arial" w:cs="Arial"/>
          <w:szCs w:val="22"/>
        </w:rPr>
      </w:pPr>
    </w:p>
    <w:p w:rsidR="00345E4D" w:rsidRPr="007C21B8" w:rsidRDefault="00345E4D" w:rsidP="00A913BF">
      <w:pPr>
        <w:pStyle w:val="ListParagraph"/>
        <w:numPr>
          <w:ilvl w:val="0"/>
          <w:numId w:val="12"/>
        </w:numPr>
        <w:autoSpaceDE w:val="0"/>
        <w:autoSpaceDN w:val="0"/>
        <w:adjustRightInd w:val="0"/>
        <w:spacing w:after="200" w:line="288" w:lineRule="auto"/>
        <w:rPr>
          <w:rFonts w:ascii="Arial" w:hAnsi="Arial" w:cs="Arial"/>
          <w:szCs w:val="22"/>
        </w:rPr>
      </w:pPr>
      <w:r>
        <w:rPr>
          <w:rFonts w:ascii="Arial" w:hAnsi="Arial" w:cs="Arial"/>
          <w:szCs w:val="22"/>
        </w:rPr>
        <w:t>T</w:t>
      </w:r>
      <w:r w:rsidRPr="007C21B8">
        <w:rPr>
          <w:rFonts w:ascii="Arial" w:hAnsi="Arial" w:cs="Arial"/>
          <w:szCs w:val="22"/>
        </w:rPr>
        <w:t>ailored to specific job roles and competency levels;</w:t>
      </w:r>
    </w:p>
    <w:p w:rsidR="00345E4D" w:rsidRPr="007C21B8" w:rsidRDefault="00345E4D" w:rsidP="00A913BF">
      <w:pPr>
        <w:pStyle w:val="ListParagraph"/>
        <w:numPr>
          <w:ilvl w:val="0"/>
          <w:numId w:val="12"/>
        </w:numPr>
        <w:autoSpaceDE w:val="0"/>
        <w:autoSpaceDN w:val="0"/>
        <w:adjustRightInd w:val="0"/>
        <w:spacing w:after="200" w:line="288" w:lineRule="auto"/>
        <w:rPr>
          <w:rFonts w:ascii="Arial" w:hAnsi="Arial" w:cs="Arial"/>
          <w:szCs w:val="22"/>
        </w:rPr>
      </w:pPr>
      <w:r>
        <w:rPr>
          <w:rFonts w:ascii="Arial" w:hAnsi="Arial" w:cs="Arial"/>
          <w:szCs w:val="22"/>
        </w:rPr>
        <w:t>I</w:t>
      </w:r>
      <w:r w:rsidRPr="007C21B8">
        <w:rPr>
          <w:rFonts w:ascii="Arial" w:hAnsi="Arial" w:cs="Arial"/>
          <w:szCs w:val="22"/>
        </w:rPr>
        <w:t>nclusive of client specific training materials in respect to major account portfolios;</w:t>
      </w:r>
    </w:p>
    <w:p w:rsidR="00345E4D" w:rsidRPr="007C21B8" w:rsidRDefault="00345E4D" w:rsidP="00A913BF">
      <w:pPr>
        <w:pStyle w:val="ListParagraph"/>
        <w:numPr>
          <w:ilvl w:val="0"/>
          <w:numId w:val="12"/>
        </w:numPr>
        <w:autoSpaceDE w:val="0"/>
        <w:autoSpaceDN w:val="0"/>
        <w:adjustRightInd w:val="0"/>
        <w:spacing w:after="200" w:line="288" w:lineRule="auto"/>
        <w:rPr>
          <w:rFonts w:ascii="Arial" w:hAnsi="Arial" w:cs="Arial"/>
          <w:szCs w:val="22"/>
        </w:rPr>
      </w:pPr>
      <w:r>
        <w:rPr>
          <w:rFonts w:ascii="Arial" w:hAnsi="Arial" w:cs="Arial"/>
          <w:szCs w:val="22"/>
        </w:rPr>
        <w:t>S</w:t>
      </w:r>
      <w:r w:rsidRPr="007C21B8">
        <w:rPr>
          <w:rFonts w:ascii="Arial" w:hAnsi="Arial" w:cs="Arial"/>
          <w:szCs w:val="22"/>
        </w:rPr>
        <w:t>trongly linked to performance management; and</w:t>
      </w:r>
    </w:p>
    <w:p w:rsidR="00345E4D" w:rsidRPr="007C21B8" w:rsidRDefault="00345E4D" w:rsidP="00A913BF">
      <w:pPr>
        <w:pStyle w:val="ListParagraph"/>
        <w:numPr>
          <w:ilvl w:val="0"/>
          <w:numId w:val="12"/>
        </w:numPr>
        <w:autoSpaceDE w:val="0"/>
        <w:autoSpaceDN w:val="0"/>
        <w:adjustRightInd w:val="0"/>
        <w:spacing w:after="200" w:line="288" w:lineRule="auto"/>
        <w:rPr>
          <w:rFonts w:ascii="Arial" w:hAnsi="Arial" w:cs="Arial"/>
          <w:szCs w:val="22"/>
        </w:rPr>
      </w:pPr>
      <w:r w:rsidRPr="007C21B8">
        <w:rPr>
          <w:rFonts w:ascii="Arial" w:hAnsi="Arial" w:cs="Arial"/>
          <w:szCs w:val="22"/>
        </w:rPr>
        <w:t>Concentrate heavily on compliance obligations.</w:t>
      </w:r>
    </w:p>
    <w:p w:rsidR="00345E4D" w:rsidRDefault="00345E4D" w:rsidP="006C3410">
      <w:pPr>
        <w:autoSpaceDE w:val="0"/>
        <w:autoSpaceDN w:val="0"/>
        <w:adjustRightInd w:val="0"/>
        <w:spacing w:line="288" w:lineRule="auto"/>
        <w:rPr>
          <w:rFonts w:ascii="Arial" w:hAnsi="Arial" w:cs="Arial"/>
          <w:szCs w:val="22"/>
        </w:rPr>
      </w:pPr>
      <w:r w:rsidRPr="007C21B8">
        <w:rPr>
          <w:rFonts w:ascii="Arial" w:hAnsi="Arial" w:cs="Arial"/>
          <w:szCs w:val="22"/>
        </w:rPr>
        <w:t xml:space="preserve">Considerations as to the level of training appropriate for each new employee include: pre-existing skills at the commencement of employment; </w:t>
      </w:r>
      <w:r>
        <w:rPr>
          <w:rFonts w:ascii="Arial" w:hAnsi="Arial" w:cs="Arial"/>
          <w:szCs w:val="22"/>
        </w:rPr>
        <w:t>the actual position</w:t>
      </w:r>
      <w:r w:rsidRPr="007C21B8">
        <w:rPr>
          <w:rFonts w:ascii="Arial" w:hAnsi="Arial" w:cs="Arial"/>
          <w:szCs w:val="22"/>
        </w:rPr>
        <w:t xml:space="preserve"> role</w:t>
      </w:r>
      <w:r>
        <w:rPr>
          <w:rFonts w:ascii="Arial" w:hAnsi="Arial" w:cs="Arial"/>
          <w:szCs w:val="22"/>
        </w:rPr>
        <w:t xml:space="preserve"> to be performed</w:t>
      </w:r>
      <w:r w:rsidRPr="007C21B8">
        <w:rPr>
          <w:rFonts w:ascii="Arial" w:hAnsi="Arial" w:cs="Arial"/>
          <w:szCs w:val="22"/>
        </w:rPr>
        <w:t>; and the career aspirations of the individual employee.</w:t>
      </w:r>
    </w:p>
    <w:p w:rsidR="00345E4D" w:rsidRPr="007C21B8" w:rsidRDefault="00345E4D" w:rsidP="006C3410">
      <w:pPr>
        <w:autoSpaceDE w:val="0"/>
        <w:autoSpaceDN w:val="0"/>
        <w:adjustRightInd w:val="0"/>
        <w:spacing w:line="288" w:lineRule="auto"/>
        <w:rPr>
          <w:rFonts w:ascii="Arial" w:hAnsi="Arial" w:cs="Arial"/>
          <w:szCs w:val="22"/>
        </w:rPr>
      </w:pPr>
    </w:p>
    <w:p w:rsidR="00345E4D" w:rsidRPr="007C21B8" w:rsidRDefault="00345E4D" w:rsidP="006C3410">
      <w:pPr>
        <w:autoSpaceDE w:val="0"/>
        <w:autoSpaceDN w:val="0"/>
        <w:adjustRightInd w:val="0"/>
        <w:spacing w:line="288" w:lineRule="auto"/>
        <w:rPr>
          <w:rFonts w:ascii="Arial" w:hAnsi="Arial" w:cs="Arial"/>
          <w:szCs w:val="22"/>
        </w:rPr>
      </w:pPr>
      <w:r w:rsidRPr="007C21B8">
        <w:rPr>
          <w:rFonts w:ascii="Arial" w:hAnsi="Arial" w:cs="Arial"/>
          <w:szCs w:val="22"/>
        </w:rPr>
        <w:t xml:space="preserve">Training materials developed and used by </w:t>
      </w:r>
      <w:r>
        <w:rPr>
          <w:rFonts w:ascii="Arial" w:hAnsi="Arial" w:cs="Arial"/>
          <w:szCs w:val="22"/>
        </w:rPr>
        <w:t xml:space="preserve">our </w:t>
      </w:r>
      <w:r w:rsidRPr="007C21B8">
        <w:rPr>
          <w:rFonts w:ascii="Arial" w:hAnsi="Arial" w:cs="Arial"/>
          <w:szCs w:val="22"/>
        </w:rPr>
        <w:t>members in training their employees include information relating to industry relevant Australian legislation and best practices.</w:t>
      </w:r>
    </w:p>
    <w:p w:rsidR="00345E4D" w:rsidRDefault="00345E4D" w:rsidP="006C3410"/>
    <w:p w:rsidR="00345E4D"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 xml:space="preserve">At the commencement of employment with </w:t>
      </w:r>
      <w:r>
        <w:rPr>
          <w:rFonts w:ascii="Arial" w:hAnsi="Arial" w:cs="Arial"/>
          <w:szCs w:val="22"/>
        </w:rPr>
        <w:t>ACDBA</w:t>
      </w:r>
      <w:r w:rsidRPr="00E94C90">
        <w:rPr>
          <w:rFonts w:ascii="Arial" w:hAnsi="Arial" w:cs="Arial"/>
          <w:szCs w:val="22"/>
        </w:rPr>
        <w:t xml:space="preserve"> members, new recruits typically undertake induction training which includes:</w:t>
      </w:r>
    </w:p>
    <w:p w:rsidR="00345E4D" w:rsidRPr="00E94C90" w:rsidRDefault="00345E4D" w:rsidP="006C3410">
      <w:pPr>
        <w:autoSpaceDE w:val="0"/>
        <w:autoSpaceDN w:val="0"/>
        <w:adjustRightInd w:val="0"/>
        <w:spacing w:line="288" w:lineRule="auto"/>
        <w:rPr>
          <w:rFonts w:ascii="Arial" w:hAnsi="Arial" w:cs="Arial"/>
          <w:szCs w:val="22"/>
        </w:rPr>
      </w:pPr>
    </w:p>
    <w:p w:rsidR="00345E4D" w:rsidRPr="00E94C90" w:rsidRDefault="00345E4D" w:rsidP="00A913BF">
      <w:pPr>
        <w:pStyle w:val="ListParagraph"/>
        <w:numPr>
          <w:ilvl w:val="0"/>
          <w:numId w:val="13"/>
        </w:numPr>
        <w:autoSpaceDE w:val="0"/>
        <w:autoSpaceDN w:val="0"/>
        <w:adjustRightInd w:val="0"/>
        <w:spacing w:after="200" w:line="288" w:lineRule="auto"/>
        <w:rPr>
          <w:rFonts w:ascii="Arial" w:hAnsi="Arial" w:cs="Arial"/>
          <w:szCs w:val="22"/>
        </w:rPr>
      </w:pPr>
      <w:r w:rsidRPr="00E94C90">
        <w:rPr>
          <w:rFonts w:ascii="Arial" w:hAnsi="Arial" w:cs="Arial"/>
          <w:szCs w:val="22"/>
        </w:rPr>
        <w:t>Orientation providing</w:t>
      </w:r>
    </w:p>
    <w:p w:rsidR="00345E4D" w:rsidRPr="00E94C90" w:rsidRDefault="00345E4D" w:rsidP="00A913BF">
      <w:pPr>
        <w:pStyle w:val="ListParagraph"/>
        <w:numPr>
          <w:ilvl w:val="0"/>
          <w:numId w:val="14"/>
        </w:numPr>
        <w:autoSpaceDE w:val="0"/>
        <w:autoSpaceDN w:val="0"/>
        <w:adjustRightInd w:val="0"/>
        <w:spacing w:after="200" w:line="288" w:lineRule="auto"/>
        <w:rPr>
          <w:rFonts w:ascii="Arial" w:hAnsi="Arial" w:cs="Arial"/>
          <w:szCs w:val="22"/>
        </w:rPr>
      </w:pPr>
      <w:r w:rsidRPr="00E94C90">
        <w:rPr>
          <w:rFonts w:ascii="Arial" w:hAnsi="Arial" w:cs="Arial"/>
          <w:szCs w:val="22"/>
        </w:rPr>
        <w:t>The history and service ethos of the employer;</w:t>
      </w:r>
    </w:p>
    <w:p w:rsidR="00345E4D" w:rsidRPr="00E94C90" w:rsidRDefault="00345E4D" w:rsidP="00A913BF">
      <w:pPr>
        <w:pStyle w:val="ListParagraph"/>
        <w:numPr>
          <w:ilvl w:val="0"/>
          <w:numId w:val="14"/>
        </w:numPr>
        <w:autoSpaceDE w:val="0"/>
        <w:autoSpaceDN w:val="0"/>
        <w:adjustRightInd w:val="0"/>
        <w:spacing w:after="200" w:line="288" w:lineRule="auto"/>
        <w:rPr>
          <w:rFonts w:ascii="Arial" w:hAnsi="Arial" w:cs="Arial"/>
          <w:szCs w:val="22"/>
        </w:rPr>
      </w:pPr>
      <w:r w:rsidRPr="00E94C90">
        <w:rPr>
          <w:rFonts w:ascii="Arial" w:hAnsi="Arial" w:cs="Arial"/>
          <w:szCs w:val="22"/>
        </w:rPr>
        <w:t>Workplace expectations;</w:t>
      </w:r>
    </w:p>
    <w:p w:rsidR="00345E4D" w:rsidRPr="00E94C90" w:rsidRDefault="00345E4D" w:rsidP="00A913BF">
      <w:pPr>
        <w:pStyle w:val="ListParagraph"/>
        <w:numPr>
          <w:ilvl w:val="0"/>
          <w:numId w:val="14"/>
        </w:numPr>
        <w:autoSpaceDE w:val="0"/>
        <w:autoSpaceDN w:val="0"/>
        <w:adjustRightInd w:val="0"/>
        <w:spacing w:after="200" w:line="288" w:lineRule="auto"/>
        <w:rPr>
          <w:rFonts w:ascii="Arial" w:hAnsi="Arial" w:cs="Arial"/>
          <w:szCs w:val="22"/>
        </w:rPr>
      </w:pPr>
      <w:r w:rsidRPr="00E94C90">
        <w:rPr>
          <w:rFonts w:ascii="Arial" w:hAnsi="Arial" w:cs="Arial"/>
          <w:szCs w:val="22"/>
        </w:rPr>
        <w:t>The employer’s core values and performance management systems; and</w:t>
      </w:r>
    </w:p>
    <w:p w:rsidR="00345E4D" w:rsidRPr="00E94C90" w:rsidRDefault="00345E4D" w:rsidP="00A913BF">
      <w:pPr>
        <w:pStyle w:val="ListParagraph"/>
        <w:numPr>
          <w:ilvl w:val="0"/>
          <w:numId w:val="14"/>
        </w:numPr>
        <w:autoSpaceDE w:val="0"/>
        <w:autoSpaceDN w:val="0"/>
        <w:adjustRightInd w:val="0"/>
        <w:spacing w:after="200" w:line="288" w:lineRule="auto"/>
        <w:rPr>
          <w:rFonts w:ascii="Arial" w:hAnsi="Arial" w:cs="Arial"/>
          <w:szCs w:val="22"/>
        </w:rPr>
      </w:pPr>
      <w:r w:rsidRPr="00E94C90">
        <w:rPr>
          <w:rFonts w:ascii="Arial" w:hAnsi="Arial" w:cs="Arial"/>
          <w:szCs w:val="22"/>
        </w:rPr>
        <w:t>An overview of the employer’s systems and processes.</w:t>
      </w:r>
    </w:p>
    <w:p w:rsidR="00345E4D" w:rsidRPr="00E94C90" w:rsidRDefault="00345E4D" w:rsidP="006C3410">
      <w:pPr>
        <w:pStyle w:val="ListParagraph"/>
        <w:autoSpaceDE w:val="0"/>
        <w:autoSpaceDN w:val="0"/>
        <w:adjustRightInd w:val="0"/>
        <w:spacing w:line="288" w:lineRule="auto"/>
        <w:ind w:left="1440"/>
        <w:rPr>
          <w:rFonts w:ascii="Arial" w:hAnsi="Arial" w:cs="Arial"/>
          <w:szCs w:val="22"/>
        </w:rPr>
      </w:pPr>
    </w:p>
    <w:p w:rsidR="00345E4D" w:rsidRPr="00E94C90" w:rsidRDefault="00345E4D" w:rsidP="00A913BF">
      <w:pPr>
        <w:pStyle w:val="ListParagraph"/>
        <w:numPr>
          <w:ilvl w:val="0"/>
          <w:numId w:val="13"/>
        </w:numPr>
        <w:autoSpaceDE w:val="0"/>
        <w:autoSpaceDN w:val="0"/>
        <w:adjustRightInd w:val="0"/>
        <w:spacing w:after="200" w:line="288" w:lineRule="auto"/>
        <w:rPr>
          <w:rFonts w:ascii="Arial" w:hAnsi="Arial" w:cs="Arial"/>
          <w:szCs w:val="22"/>
        </w:rPr>
      </w:pPr>
      <w:r w:rsidRPr="00E94C90">
        <w:rPr>
          <w:rFonts w:ascii="Arial" w:hAnsi="Arial" w:cs="Arial"/>
          <w:szCs w:val="22"/>
        </w:rPr>
        <w:t>Initial compliance training on:</w:t>
      </w:r>
    </w:p>
    <w:p w:rsidR="00345E4D" w:rsidRPr="00E94C90" w:rsidRDefault="00345E4D" w:rsidP="00A913BF">
      <w:pPr>
        <w:pStyle w:val="ListParagraph"/>
        <w:numPr>
          <w:ilvl w:val="0"/>
          <w:numId w:val="15"/>
        </w:numPr>
        <w:autoSpaceDE w:val="0"/>
        <w:autoSpaceDN w:val="0"/>
        <w:adjustRightInd w:val="0"/>
        <w:spacing w:after="200" w:line="288" w:lineRule="auto"/>
        <w:rPr>
          <w:rFonts w:ascii="Arial" w:hAnsi="Arial" w:cs="Arial"/>
          <w:szCs w:val="22"/>
        </w:rPr>
      </w:pPr>
      <w:r w:rsidRPr="00E94C90">
        <w:rPr>
          <w:rFonts w:ascii="Arial" w:hAnsi="Arial" w:cs="Arial"/>
          <w:szCs w:val="22"/>
        </w:rPr>
        <w:t>Australian legislation relevant to the employee’s role;</w:t>
      </w:r>
    </w:p>
    <w:p w:rsidR="00345E4D" w:rsidRPr="00E94C90" w:rsidRDefault="00345E4D" w:rsidP="00A913BF">
      <w:pPr>
        <w:pStyle w:val="ListParagraph"/>
        <w:numPr>
          <w:ilvl w:val="0"/>
          <w:numId w:val="15"/>
        </w:numPr>
        <w:autoSpaceDE w:val="0"/>
        <w:autoSpaceDN w:val="0"/>
        <w:adjustRightInd w:val="0"/>
        <w:spacing w:after="200" w:line="288" w:lineRule="auto"/>
        <w:rPr>
          <w:rFonts w:ascii="Arial" w:hAnsi="Arial" w:cs="Arial"/>
          <w:szCs w:val="22"/>
        </w:rPr>
      </w:pPr>
      <w:r w:rsidRPr="00E94C90">
        <w:rPr>
          <w:rFonts w:ascii="Arial" w:hAnsi="Arial" w:cs="Arial"/>
          <w:szCs w:val="22"/>
        </w:rPr>
        <w:t>The role of ASIC and the ACCC;</w:t>
      </w:r>
    </w:p>
    <w:p w:rsidR="00345E4D" w:rsidRPr="00E94C90" w:rsidRDefault="00345E4D" w:rsidP="00A913BF">
      <w:pPr>
        <w:pStyle w:val="ListParagraph"/>
        <w:numPr>
          <w:ilvl w:val="0"/>
          <w:numId w:val="15"/>
        </w:numPr>
        <w:autoSpaceDE w:val="0"/>
        <w:autoSpaceDN w:val="0"/>
        <w:adjustRightInd w:val="0"/>
        <w:spacing w:after="200" w:line="288" w:lineRule="auto"/>
        <w:rPr>
          <w:rFonts w:ascii="Arial" w:hAnsi="Arial" w:cs="Arial"/>
          <w:szCs w:val="22"/>
        </w:rPr>
      </w:pPr>
      <w:r w:rsidRPr="00E94C90">
        <w:rPr>
          <w:rFonts w:ascii="Arial" w:hAnsi="Arial" w:cs="Arial"/>
          <w:szCs w:val="22"/>
        </w:rPr>
        <w:t>Harassment;</w:t>
      </w:r>
    </w:p>
    <w:p w:rsidR="00345E4D" w:rsidRPr="00E94C90" w:rsidRDefault="00345E4D" w:rsidP="00A913BF">
      <w:pPr>
        <w:pStyle w:val="ListParagraph"/>
        <w:numPr>
          <w:ilvl w:val="0"/>
          <w:numId w:val="15"/>
        </w:numPr>
        <w:autoSpaceDE w:val="0"/>
        <w:autoSpaceDN w:val="0"/>
        <w:adjustRightInd w:val="0"/>
        <w:spacing w:after="200" w:line="288" w:lineRule="auto"/>
        <w:rPr>
          <w:rFonts w:ascii="Arial" w:hAnsi="Arial" w:cs="Arial"/>
          <w:szCs w:val="22"/>
        </w:rPr>
      </w:pPr>
      <w:r w:rsidRPr="00E94C90">
        <w:rPr>
          <w:rFonts w:ascii="Arial" w:hAnsi="Arial" w:cs="Arial"/>
          <w:szCs w:val="22"/>
        </w:rPr>
        <w:t>Coercion;</w:t>
      </w:r>
    </w:p>
    <w:p w:rsidR="00345E4D" w:rsidRPr="00E94C90" w:rsidRDefault="00345E4D" w:rsidP="00A913BF">
      <w:pPr>
        <w:pStyle w:val="ListParagraph"/>
        <w:numPr>
          <w:ilvl w:val="0"/>
          <w:numId w:val="15"/>
        </w:numPr>
        <w:autoSpaceDE w:val="0"/>
        <w:autoSpaceDN w:val="0"/>
        <w:adjustRightInd w:val="0"/>
        <w:spacing w:after="200" w:line="288" w:lineRule="auto"/>
        <w:rPr>
          <w:rFonts w:ascii="Arial" w:hAnsi="Arial" w:cs="Arial"/>
          <w:szCs w:val="22"/>
        </w:rPr>
      </w:pPr>
      <w:r w:rsidRPr="00E94C90">
        <w:rPr>
          <w:rFonts w:ascii="Arial" w:hAnsi="Arial" w:cs="Arial"/>
          <w:szCs w:val="22"/>
        </w:rPr>
        <w:t>Misleading and deceptive conduct;</w:t>
      </w:r>
    </w:p>
    <w:p w:rsidR="00345E4D" w:rsidRPr="00E94C90" w:rsidRDefault="00345E4D" w:rsidP="00A913BF">
      <w:pPr>
        <w:pStyle w:val="ListParagraph"/>
        <w:numPr>
          <w:ilvl w:val="0"/>
          <w:numId w:val="15"/>
        </w:numPr>
        <w:autoSpaceDE w:val="0"/>
        <w:autoSpaceDN w:val="0"/>
        <w:adjustRightInd w:val="0"/>
        <w:spacing w:after="200" w:line="288" w:lineRule="auto"/>
        <w:rPr>
          <w:rFonts w:ascii="Arial" w:hAnsi="Arial" w:cs="Arial"/>
          <w:szCs w:val="22"/>
        </w:rPr>
      </w:pPr>
      <w:r w:rsidRPr="00E94C90">
        <w:rPr>
          <w:rFonts w:ascii="Arial" w:hAnsi="Arial" w:cs="Arial"/>
          <w:szCs w:val="22"/>
        </w:rPr>
        <w:t>Unconscionable conduct;</w:t>
      </w:r>
    </w:p>
    <w:p w:rsidR="00345E4D" w:rsidRPr="00E94C90" w:rsidRDefault="00345E4D" w:rsidP="00A913BF">
      <w:pPr>
        <w:pStyle w:val="ListParagraph"/>
        <w:numPr>
          <w:ilvl w:val="0"/>
          <w:numId w:val="15"/>
        </w:numPr>
        <w:autoSpaceDE w:val="0"/>
        <w:autoSpaceDN w:val="0"/>
        <w:adjustRightInd w:val="0"/>
        <w:spacing w:after="200" w:line="288" w:lineRule="auto"/>
        <w:rPr>
          <w:rFonts w:ascii="Arial" w:hAnsi="Arial" w:cs="Arial"/>
          <w:szCs w:val="22"/>
        </w:rPr>
      </w:pPr>
      <w:r w:rsidRPr="00E94C90">
        <w:rPr>
          <w:rFonts w:ascii="Arial" w:hAnsi="Arial" w:cs="Arial"/>
          <w:szCs w:val="22"/>
        </w:rPr>
        <w:t>Identifying debtors in special circumstances, with special needs or in financial hardship; and</w:t>
      </w:r>
    </w:p>
    <w:p w:rsidR="00345E4D" w:rsidRPr="00E94C90" w:rsidRDefault="00345E4D" w:rsidP="00A913BF">
      <w:pPr>
        <w:pStyle w:val="ListParagraph"/>
        <w:numPr>
          <w:ilvl w:val="0"/>
          <w:numId w:val="15"/>
        </w:numPr>
        <w:autoSpaceDE w:val="0"/>
        <w:autoSpaceDN w:val="0"/>
        <w:adjustRightInd w:val="0"/>
        <w:spacing w:after="200" w:line="288" w:lineRule="auto"/>
        <w:rPr>
          <w:rFonts w:ascii="Arial" w:hAnsi="Arial" w:cs="Arial"/>
          <w:szCs w:val="22"/>
        </w:rPr>
      </w:pPr>
      <w:r w:rsidRPr="00E94C90">
        <w:rPr>
          <w:rFonts w:ascii="Arial" w:hAnsi="Arial" w:cs="Arial"/>
          <w:szCs w:val="22"/>
        </w:rPr>
        <w:t>Collection ethics.</w:t>
      </w:r>
    </w:p>
    <w:p w:rsidR="00345E4D"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 xml:space="preserve">Dependent upon the size and nature of the </w:t>
      </w:r>
      <w:r>
        <w:rPr>
          <w:rFonts w:ascii="Arial" w:hAnsi="Arial" w:cs="Arial"/>
          <w:szCs w:val="22"/>
        </w:rPr>
        <w:t xml:space="preserve">specific </w:t>
      </w:r>
      <w:r w:rsidRPr="00E94C90">
        <w:rPr>
          <w:rFonts w:ascii="Arial" w:hAnsi="Arial" w:cs="Arial"/>
          <w:szCs w:val="22"/>
        </w:rPr>
        <w:t xml:space="preserve">member’s business, new recruits typically start within a call centre environment which </w:t>
      </w:r>
      <w:r>
        <w:rPr>
          <w:rFonts w:ascii="Arial" w:hAnsi="Arial" w:cs="Arial"/>
          <w:szCs w:val="22"/>
        </w:rPr>
        <w:t xml:space="preserve">are </w:t>
      </w:r>
      <w:r w:rsidRPr="00E94C90">
        <w:rPr>
          <w:rFonts w:ascii="Arial" w:hAnsi="Arial" w:cs="Arial"/>
          <w:szCs w:val="22"/>
        </w:rPr>
        <w:t xml:space="preserve">structured to provide significant </w:t>
      </w:r>
      <w:r>
        <w:rPr>
          <w:rFonts w:ascii="Arial" w:hAnsi="Arial" w:cs="Arial"/>
          <w:szCs w:val="22"/>
        </w:rPr>
        <w:t xml:space="preserve">and appropriate </w:t>
      </w:r>
      <w:r w:rsidRPr="00E94C90">
        <w:rPr>
          <w:rFonts w:ascii="Arial" w:hAnsi="Arial" w:cs="Arial"/>
          <w:szCs w:val="22"/>
        </w:rPr>
        <w:t xml:space="preserve">support to new employees.  A feature of working in such an initial role is </w:t>
      </w:r>
      <w:r>
        <w:rPr>
          <w:rFonts w:ascii="Arial" w:hAnsi="Arial" w:cs="Arial"/>
          <w:szCs w:val="22"/>
        </w:rPr>
        <w:t>such</w:t>
      </w:r>
      <w:r w:rsidRPr="00E94C90">
        <w:rPr>
          <w:rFonts w:ascii="Arial" w:hAnsi="Arial" w:cs="Arial"/>
          <w:szCs w:val="22"/>
        </w:rPr>
        <w:t xml:space="preserve"> work is </w:t>
      </w:r>
      <w:r>
        <w:rPr>
          <w:rFonts w:ascii="Arial" w:hAnsi="Arial" w:cs="Arial"/>
          <w:szCs w:val="22"/>
        </w:rPr>
        <w:t xml:space="preserve">regarded as being </w:t>
      </w:r>
      <w:r w:rsidRPr="00E94C90">
        <w:rPr>
          <w:rFonts w:ascii="Arial" w:hAnsi="Arial" w:cs="Arial"/>
          <w:szCs w:val="22"/>
        </w:rPr>
        <w:t>less demanding than general collection or account management roles.</w:t>
      </w:r>
    </w:p>
    <w:p w:rsidR="00345E4D" w:rsidRPr="00E94C90"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 xml:space="preserve">Such training is reinforced by workplace mentors and supervisors who provide significant one-to-one training in such matters as system use, procedures, adherence to scripts and client specific requirements. Employees are provided </w:t>
      </w:r>
      <w:r>
        <w:rPr>
          <w:rFonts w:ascii="Arial" w:hAnsi="Arial" w:cs="Arial"/>
          <w:szCs w:val="22"/>
        </w:rPr>
        <w:t xml:space="preserve">both </w:t>
      </w:r>
      <w:r w:rsidRPr="00E94C90">
        <w:rPr>
          <w:rFonts w:ascii="Arial" w:hAnsi="Arial" w:cs="Arial"/>
          <w:szCs w:val="22"/>
        </w:rPr>
        <w:t>regular and informal performance feedback.</w:t>
      </w:r>
    </w:p>
    <w:p w:rsidR="00345E4D" w:rsidRPr="00E94C90"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As employees complete their probationary period mentors, supervisors and managers generally complete a probation completion report, allowing the opportunity for additional training needs and retraining to be identified</w:t>
      </w:r>
      <w:r>
        <w:rPr>
          <w:rFonts w:ascii="Arial" w:hAnsi="Arial" w:cs="Arial"/>
          <w:szCs w:val="22"/>
        </w:rPr>
        <w:t xml:space="preserve"> and subsequently provided</w:t>
      </w:r>
      <w:r w:rsidRPr="00E94C90">
        <w:rPr>
          <w:rFonts w:ascii="Arial" w:hAnsi="Arial" w:cs="Arial"/>
          <w:szCs w:val="22"/>
        </w:rPr>
        <w:t>.</w:t>
      </w:r>
    </w:p>
    <w:p w:rsidR="00345E4D" w:rsidRPr="00E94C90"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Typically, within 6 to 9 months of commencing to work in a collections environment, a new recruit will have had sufficient exposure to basic tasks such as reminder calls and at this point employers turn to providing strateg</w:t>
      </w:r>
      <w:r>
        <w:rPr>
          <w:rFonts w:ascii="Arial" w:hAnsi="Arial" w:cs="Arial"/>
          <w:szCs w:val="22"/>
        </w:rPr>
        <w:t>ic</w:t>
      </w:r>
      <w:r w:rsidRPr="00E94C90">
        <w:rPr>
          <w:rFonts w:ascii="Arial" w:hAnsi="Arial" w:cs="Arial"/>
          <w:szCs w:val="22"/>
        </w:rPr>
        <w:t xml:space="preserve"> training to address:</w:t>
      </w:r>
    </w:p>
    <w:p w:rsidR="00345E4D" w:rsidRPr="00E94C90" w:rsidRDefault="00345E4D" w:rsidP="006C3410">
      <w:pPr>
        <w:autoSpaceDE w:val="0"/>
        <w:autoSpaceDN w:val="0"/>
        <w:adjustRightInd w:val="0"/>
        <w:spacing w:line="288" w:lineRule="auto"/>
        <w:rPr>
          <w:rFonts w:ascii="Arial" w:hAnsi="Arial" w:cs="Arial"/>
          <w:szCs w:val="22"/>
        </w:rPr>
      </w:pPr>
    </w:p>
    <w:p w:rsidR="00345E4D" w:rsidRPr="00E94C90" w:rsidRDefault="00345E4D" w:rsidP="00A913BF">
      <w:pPr>
        <w:pStyle w:val="ListParagraph"/>
        <w:numPr>
          <w:ilvl w:val="0"/>
          <w:numId w:val="16"/>
        </w:numPr>
        <w:autoSpaceDE w:val="0"/>
        <w:autoSpaceDN w:val="0"/>
        <w:adjustRightInd w:val="0"/>
        <w:spacing w:after="200" w:line="288" w:lineRule="auto"/>
        <w:rPr>
          <w:rFonts w:ascii="Arial" w:hAnsi="Arial" w:cs="Arial"/>
          <w:szCs w:val="22"/>
        </w:rPr>
      </w:pPr>
      <w:r w:rsidRPr="00E94C90">
        <w:rPr>
          <w:rFonts w:ascii="Arial" w:hAnsi="Arial" w:cs="Arial"/>
          <w:szCs w:val="22"/>
        </w:rPr>
        <w:t>Communication techniques;</w:t>
      </w:r>
    </w:p>
    <w:p w:rsidR="00345E4D" w:rsidRPr="00E94C90" w:rsidRDefault="00345E4D" w:rsidP="00A913BF">
      <w:pPr>
        <w:pStyle w:val="ListParagraph"/>
        <w:numPr>
          <w:ilvl w:val="0"/>
          <w:numId w:val="16"/>
        </w:numPr>
        <w:autoSpaceDE w:val="0"/>
        <w:autoSpaceDN w:val="0"/>
        <w:adjustRightInd w:val="0"/>
        <w:spacing w:after="200" w:line="288" w:lineRule="auto"/>
        <w:rPr>
          <w:rFonts w:ascii="Arial" w:hAnsi="Arial" w:cs="Arial"/>
          <w:szCs w:val="22"/>
        </w:rPr>
      </w:pPr>
      <w:r w:rsidRPr="00E94C90">
        <w:rPr>
          <w:rFonts w:ascii="Arial" w:hAnsi="Arial" w:cs="Arial"/>
          <w:szCs w:val="22"/>
        </w:rPr>
        <w:t>Negotiation strategies;</w:t>
      </w:r>
    </w:p>
    <w:p w:rsidR="00345E4D" w:rsidRPr="00E94C90" w:rsidRDefault="00345E4D" w:rsidP="00A913BF">
      <w:pPr>
        <w:pStyle w:val="ListParagraph"/>
        <w:numPr>
          <w:ilvl w:val="0"/>
          <w:numId w:val="16"/>
        </w:numPr>
        <w:autoSpaceDE w:val="0"/>
        <w:autoSpaceDN w:val="0"/>
        <w:adjustRightInd w:val="0"/>
        <w:spacing w:after="200" w:line="288" w:lineRule="auto"/>
        <w:rPr>
          <w:rFonts w:ascii="Arial" w:hAnsi="Arial" w:cs="Arial"/>
          <w:szCs w:val="22"/>
        </w:rPr>
      </w:pPr>
      <w:r w:rsidRPr="00E94C90">
        <w:rPr>
          <w:rFonts w:ascii="Arial" w:hAnsi="Arial" w:cs="Arial"/>
          <w:szCs w:val="22"/>
        </w:rPr>
        <w:t>Litigation process overviews;</w:t>
      </w:r>
    </w:p>
    <w:p w:rsidR="00345E4D" w:rsidRPr="00E94C90" w:rsidRDefault="00345E4D" w:rsidP="00A913BF">
      <w:pPr>
        <w:pStyle w:val="ListParagraph"/>
        <w:numPr>
          <w:ilvl w:val="0"/>
          <w:numId w:val="16"/>
        </w:numPr>
        <w:autoSpaceDE w:val="0"/>
        <w:autoSpaceDN w:val="0"/>
        <w:adjustRightInd w:val="0"/>
        <w:spacing w:after="200" w:line="288" w:lineRule="auto"/>
        <w:rPr>
          <w:rFonts w:ascii="Arial" w:hAnsi="Arial" w:cs="Arial"/>
          <w:szCs w:val="22"/>
        </w:rPr>
      </w:pPr>
      <w:r w:rsidRPr="00E94C90">
        <w:rPr>
          <w:rFonts w:ascii="Arial" w:hAnsi="Arial" w:cs="Arial"/>
          <w:szCs w:val="22"/>
        </w:rPr>
        <w:t>Managing aggression;</w:t>
      </w:r>
    </w:p>
    <w:p w:rsidR="00345E4D" w:rsidRPr="00E94C90" w:rsidRDefault="00345E4D" w:rsidP="00A913BF">
      <w:pPr>
        <w:pStyle w:val="ListParagraph"/>
        <w:numPr>
          <w:ilvl w:val="0"/>
          <w:numId w:val="16"/>
        </w:numPr>
        <w:autoSpaceDE w:val="0"/>
        <w:autoSpaceDN w:val="0"/>
        <w:adjustRightInd w:val="0"/>
        <w:spacing w:after="200" w:line="288" w:lineRule="auto"/>
        <w:rPr>
          <w:rFonts w:ascii="Arial" w:hAnsi="Arial" w:cs="Arial"/>
          <w:szCs w:val="22"/>
        </w:rPr>
      </w:pPr>
      <w:r w:rsidRPr="00E94C90">
        <w:rPr>
          <w:rFonts w:ascii="Arial" w:hAnsi="Arial" w:cs="Arial"/>
          <w:szCs w:val="22"/>
        </w:rPr>
        <w:t>More detailed complaint handling training; and</w:t>
      </w:r>
    </w:p>
    <w:p w:rsidR="00345E4D" w:rsidRPr="00E94C90" w:rsidRDefault="00345E4D" w:rsidP="00A913BF">
      <w:pPr>
        <w:pStyle w:val="ListParagraph"/>
        <w:numPr>
          <w:ilvl w:val="0"/>
          <w:numId w:val="16"/>
        </w:numPr>
        <w:autoSpaceDE w:val="0"/>
        <w:autoSpaceDN w:val="0"/>
        <w:adjustRightInd w:val="0"/>
        <w:spacing w:after="200" w:line="288" w:lineRule="auto"/>
        <w:rPr>
          <w:rFonts w:ascii="Arial" w:hAnsi="Arial" w:cs="Arial"/>
          <w:szCs w:val="22"/>
        </w:rPr>
      </w:pPr>
      <w:r w:rsidRPr="00E94C90">
        <w:rPr>
          <w:rFonts w:ascii="Arial" w:hAnsi="Arial" w:cs="Arial"/>
          <w:szCs w:val="22"/>
        </w:rPr>
        <w:t>Revision of prior training.</w:t>
      </w:r>
    </w:p>
    <w:p w:rsidR="00345E4D"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 xml:space="preserve">An employee progressing to work as a Collections Officer, typically after 12 months or so </w:t>
      </w:r>
      <w:r>
        <w:rPr>
          <w:rFonts w:ascii="Arial" w:hAnsi="Arial" w:cs="Arial"/>
          <w:szCs w:val="22"/>
        </w:rPr>
        <w:t>from</w:t>
      </w:r>
      <w:r w:rsidRPr="00E94C90">
        <w:rPr>
          <w:rFonts w:ascii="Arial" w:hAnsi="Arial" w:cs="Arial"/>
          <w:szCs w:val="22"/>
        </w:rPr>
        <w:t xml:space="preserve"> commencement of employment is required by the employer to undertake and successfully complete customised training units dealing with:</w:t>
      </w:r>
    </w:p>
    <w:p w:rsidR="00345E4D" w:rsidRPr="00E94C90" w:rsidRDefault="00345E4D" w:rsidP="006C3410">
      <w:pPr>
        <w:autoSpaceDE w:val="0"/>
        <w:autoSpaceDN w:val="0"/>
        <w:adjustRightInd w:val="0"/>
        <w:spacing w:line="288" w:lineRule="auto"/>
        <w:rPr>
          <w:rFonts w:ascii="Arial" w:hAnsi="Arial" w:cs="Arial"/>
          <w:szCs w:val="22"/>
        </w:rPr>
      </w:pPr>
    </w:p>
    <w:p w:rsidR="00345E4D" w:rsidRPr="00E94C90" w:rsidRDefault="00345E4D" w:rsidP="00A913BF">
      <w:pPr>
        <w:pStyle w:val="ListParagraph"/>
        <w:numPr>
          <w:ilvl w:val="0"/>
          <w:numId w:val="17"/>
        </w:numPr>
        <w:autoSpaceDE w:val="0"/>
        <w:autoSpaceDN w:val="0"/>
        <w:adjustRightInd w:val="0"/>
        <w:spacing w:after="200" w:line="288" w:lineRule="auto"/>
        <w:rPr>
          <w:rFonts w:ascii="Arial" w:hAnsi="Arial" w:cs="Arial"/>
          <w:szCs w:val="22"/>
        </w:rPr>
      </w:pPr>
      <w:r w:rsidRPr="00E94C90">
        <w:rPr>
          <w:rFonts w:ascii="Arial" w:hAnsi="Arial" w:cs="Arial"/>
          <w:szCs w:val="22"/>
        </w:rPr>
        <w:t>Collecting debts;</w:t>
      </w:r>
    </w:p>
    <w:p w:rsidR="00345E4D" w:rsidRPr="00E94C90" w:rsidRDefault="00345E4D" w:rsidP="00A913BF">
      <w:pPr>
        <w:pStyle w:val="ListParagraph"/>
        <w:numPr>
          <w:ilvl w:val="0"/>
          <w:numId w:val="17"/>
        </w:numPr>
        <w:autoSpaceDE w:val="0"/>
        <w:autoSpaceDN w:val="0"/>
        <w:adjustRightInd w:val="0"/>
        <w:spacing w:after="200" w:line="288" w:lineRule="auto"/>
        <w:rPr>
          <w:rFonts w:ascii="Arial" w:hAnsi="Arial" w:cs="Arial"/>
          <w:szCs w:val="22"/>
        </w:rPr>
      </w:pPr>
      <w:r w:rsidRPr="00E94C90">
        <w:rPr>
          <w:rFonts w:ascii="Arial" w:hAnsi="Arial" w:cs="Arial"/>
          <w:szCs w:val="22"/>
        </w:rPr>
        <w:t>Customer service; and</w:t>
      </w:r>
    </w:p>
    <w:p w:rsidR="00345E4D" w:rsidRPr="00E94C90" w:rsidRDefault="00345E4D" w:rsidP="00A913BF">
      <w:pPr>
        <w:pStyle w:val="ListParagraph"/>
        <w:numPr>
          <w:ilvl w:val="0"/>
          <w:numId w:val="17"/>
        </w:numPr>
        <w:autoSpaceDE w:val="0"/>
        <w:autoSpaceDN w:val="0"/>
        <w:adjustRightInd w:val="0"/>
        <w:spacing w:after="200" w:line="288" w:lineRule="auto"/>
        <w:rPr>
          <w:rFonts w:ascii="Arial" w:hAnsi="Arial" w:cs="Arial"/>
          <w:szCs w:val="22"/>
        </w:rPr>
      </w:pPr>
      <w:r w:rsidRPr="00E94C90">
        <w:rPr>
          <w:rFonts w:ascii="Arial" w:hAnsi="Arial" w:cs="Arial"/>
          <w:szCs w:val="22"/>
        </w:rPr>
        <w:t>Client specific requirements.</w:t>
      </w:r>
    </w:p>
    <w:p w:rsidR="00345E4D"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The determination of whether the employee has satisfactorily completed the training is based upon written assessment(s) and direct observation assessment(s).</w:t>
      </w:r>
    </w:p>
    <w:p w:rsidR="00345E4D" w:rsidRPr="00E94C90"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Pr>
          <w:rFonts w:ascii="Arial" w:hAnsi="Arial" w:cs="Arial"/>
          <w:szCs w:val="22"/>
        </w:rPr>
        <w:t>A</w:t>
      </w:r>
      <w:r w:rsidRPr="00E94C90">
        <w:rPr>
          <w:rFonts w:ascii="Arial" w:hAnsi="Arial" w:cs="Arial"/>
          <w:szCs w:val="22"/>
        </w:rPr>
        <w:t>ddition</w:t>
      </w:r>
      <w:r>
        <w:rPr>
          <w:rFonts w:ascii="Arial" w:hAnsi="Arial" w:cs="Arial"/>
          <w:szCs w:val="22"/>
        </w:rPr>
        <w:t>al</w:t>
      </w:r>
      <w:r w:rsidRPr="00E94C90">
        <w:rPr>
          <w:rFonts w:ascii="Arial" w:hAnsi="Arial" w:cs="Arial"/>
          <w:szCs w:val="22"/>
        </w:rPr>
        <w:t xml:space="preserve"> to the training provided as employees enter </w:t>
      </w:r>
      <w:r>
        <w:rPr>
          <w:rFonts w:ascii="Arial" w:hAnsi="Arial" w:cs="Arial"/>
          <w:szCs w:val="22"/>
        </w:rPr>
        <w:t xml:space="preserve">each </w:t>
      </w:r>
      <w:r w:rsidRPr="00E94C90">
        <w:rPr>
          <w:rFonts w:ascii="Arial" w:hAnsi="Arial" w:cs="Arial"/>
          <w:szCs w:val="22"/>
        </w:rPr>
        <w:t xml:space="preserve">new job function, </w:t>
      </w:r>
      <w:r>
        <w:rPr>
          <w:rFonts w:ascii="Arial" w:hAnsi="Arial" w:cs="Arial"/>
          <w:szCs w:val="22"/>
        </w:rPr>
        <w:t>ACDBA</w:t>
      </w:r>
      <w:r w:rsidRPr="00E94C90">
        <w:rPr>
          <w:rFonts w:ascii="Arial" w:hAnsi="Arial" w:cs="Arial"/>
          <w:szCs w:val="22"/>
        </w:rPr>
        <w:t xml:space="preserve"> members at a frequency of no</w:t>
      </w:r>
      <w:r>
        <w:rPr>
          <w:rFonts w:ascii="Arial" w:hAnsi="Arial" w:cs="Arial"/>
          <w:szCs w:val="22"/>
        </w:rPr>
        <w:t>t</w:t>
      </w:r>
      <w:r w:rsidRPr="00E94C90">
        <w:rPr>
          <w:rFonts w:ascii="Arial" w:hAnsi="Arial" w:cs="Arial"/>
          <w:szCs w:val="22"/>
        </w:rPr>
        <w:t xml:space="preserve"> less than annually require their employees to attend a refresher collection and compliance training session as a minimum – dependent upon the work function, determination of whether such refresher training has been successfully completed may include written assessment.</w:t>
      </w:r>
    </w:p>
    <w:p w:rsidR="00345E4D" w:rsidRPr="00E94C90"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It is appropriate to point out the modern collections environment of our members embrace</w:t>
      </w:r>
      <w:r>
        <w:rPr>
          <w:rFonts w:ascii="Arial" w:hAnsi="Arial" w:cs="Arial"/>
          <w:szCs w:val="22"/>
        </w:rPr>
        <w:t>s</w:t>
      </w:r>
      <w:r w:rsidRPr="00E94C90">
        <w:rPr>
          <w:rFonts w:ascii="Arial" w:hAnsi="Arial" w:cs="Arial"/>
          <w:szCs w:val="22"/>
        </w:rPr>
        <w:t xml:space="preserve"> compliance monitoring and quality management as integral parts of operating processes and as a consequen</w:t>
      </w:r>
      <w:r>
        <w:rPr>
          <w:rFonts w:ascii="Arial" w:hAnsi="Arial" w:cs="Arial"/>
          <w:szCs w:val="22"/>
        </w:rPr>
        <w:t>ce</w:t>
      </w:r>
      <w:r w:rsidRPr="00E94C90">
        <w:rPr>
          <w:rFonts w:ascii="Arial" w:hAnsi="Arial" w:cs="Arial"/>
          <w:szCs w:val="22"/>
        </w:rPr>
        <w:t xml:space="preserve"> employees are subject to regular direct observation assessment and/or call monitoring and file reviews.</w:t>
      </w:r>
    </w:p>
    <w:p w:rsidR="00345E4D" w:rsidRPr="00E94C90" w:rsidRDefault="00345E4D" w:rsidP="006C3410">
      <w:pPr>
        <w:autoSpaceDE w:val="0"/>
        <w:autoSpaceDN w:val="0"/>
        <w:adjustRightInd w:val="0"/>
        <w:spacing w:line="288" w:lineRule="auto"/>
        <w:rPr>
          <w:rFonts w:ascii="Arial" w:hAnsi="Arial" w:cs="Arial"/>
          <w:szCs w:val="22"/>
        </w:rPr>
      </w:pPr>
    </w:p>
    <w:p w:rsidR="00345E4D" w:rsidRDefault="00345E4D" w:rsidP="006C3410">
      <w:pPr>
        <w:autoSpaceDE w:val="0"/>
        <w:autoSpaceDN w:val="0"/>
        <w:adjustRightInd w:val="0"/>
        <w:spacing w:line="288" w:lineRule="auto"/>
        <w:rPr>
          <w:rFonts w:ascii="Arial" w:hAnsi="Arial" w:cs="Arial"/>
          <w:szCs w:val="22"/>
        </w:rPr>
      </w:pPr>
      <w:r>
        <w:rPr>
          <w:rFonts w:ascii="Arial" w:hAnsi="Arial" w:cs="Arial"/>
          <w:szCs w:val="22"/>
        </w:rPr>
        <w:t>ACDBA members believe</w:t>
      </w:r>
      <w:r w:rsidRPr="00E94C90">
        <w:rPr>
          <w:rFonts w:ascii="Arial" w:hAnsi="Arial" w:cs="Arial"/>
          <w:szCs w:val="22"/>
        </w:rPr>
        <w:t xml:space="preserve"> responsibility for the delivery of appropriate training </w:t>
      </w:r>
      <w:r>
        <w:rPr>
          <w:rFonts w:ascii="Arial" w:hAnsi="Arial" w:cs="Arial"/>
          <w:szCs w:val="22"/>
        </w:rPr>
        <w:t xml:space="preserve">should always </w:t>
      </w:r>
      <w:r w:rsidRPr="00E94C90">
        <w:rPr>
          <w:rFonts w:ascii="Arial" w:hAnsi="Arial" w:cs="Arial"/>
          <w:szCs w:val="22"/>
        </w:rPr>
        <w:t xml:space="preserve">sit with the directors or principals of </w:t>
      </w:r>
      <w:r>
        <w:rPr>
          <w:rFonts w:ascii="Arial" w:hAnsi="Arial" w:cs="Arial"/>
          <w:szCs w:val="22"/>
        </w:rPr>
        <w:t>the</w:t>
      </w:r>
      <w:r w:rsidRPr="00E94C90">
        <w:rPr>
          <w:rFonts w:ascii="Arial" w:hAnsi="Arial" w:cs="Arial"/>
          <w:szCs w:val="22"/>
        </w:rPr>
        <w:t xml:space="preserve"> business </w:t>
      </w:r>
      <w:r w:rsidRPr="00870452">
        <w:rPr>
          <w:rFonts w:ascii="Arial" w:hAnsi="Arial" w:cs="Arial"/>
          <w:szCs w:val="22"/>
        </w:rPr>
        <w:t>entities operating within the Collections sector, supported by the Association.</w:t>
      </w:r>
      <w:r w:rsidRPr="00E94C90">
        <w:rPr>
          <w:rFonts w:ascii="Arial" w:hAnsi="Arial" w:cs="Arial"/>
          <w:szCs w:val="22"/>
        </w:rPr>
        <w:t xml:space="preserve">  </w:t>
      </w:r>
    </w:p>
    <w:p w:rsidR="00345E4D" w:rsidRPr="00E94C90" w:rsidRDefault="00345E4D" w:rsidP="006C3410">
      <w:pPr>
        <w:autoSpaceDE w:val="0"/>
        <w:autoSpaceDN w:val="0"/>
        <w:adjustRightInd w:val="0"/>
        <w:spacing w:line="288" w:lineRule="auto"/>
        <w:rPr>
          <w:rFonts w:ascii="Arial" w:hAnsi="Arial" w:cs="Arial"/>
          <w:szCs w:val="22"/>
        </w:rPr>
      </w:pPr>
    </w:p>
    <w:p w:rsidR="00345E4D" w:rsidRPr="00E94C90" w:rsidRDefault="00345E4D" w:rsidP="006C3410">
      <w:pPr>
        <w:autoSpaceDE w:val="0"/>
        <w:autoSpaceDN w:val="0"/>
        <w:adjustRightInd w:val="0"/>
        <w:spacing w:line="288" w:lineRule="auto"/>
        <w:rPr>
          <w:rFonts w:ascii="Arial" w:hAnsi="Arial" w:cs="Arial"/>
          <w:szCs w:val="22"/>
        </w:rPr>
      </w:pPr>
      <w:r w:rsidRPr="00E94C90">
        <w:rPr>
          <w:rFonts w:ascii="Arial" w:hAnsi="Arial" w:cs="Arial"/>
          <w:szCs w:val="22"/>
        </w:rPr>
        <w:t xml:space="preserve">Such an approach will provide a more reasonable, responsible and appropriate training regime for collectors to achieve outcomes of higher standards </w:t>
      </w:r>
      <w:r>
        <w:rPr>
          <w:rFonts w:ascii="Arial" w:hAnsi="Arial" w:cs="Arial"/>
          <w:szCs w:val="22"/>
        </w:rPr>
        <w:t xml:space="preserve">whilst also ensuring </w:t>
      </w:r>
      <w:r w:rsidRPr="00E94C90">
        <w:rPr>
          <w:rFonts w:ascii="Arial" w:hAnsi="Arial" w:cs="Arial"/>
          <w:szCs w:val="22"/>
        </w:rPr>
        <w:t xml:space="preserve">regulator and consumer confidence </w:t>
      </w:r>
      <w:r>
        <w:rPr>
          <w:rFonts w:ascii="Arial" w:hAnsi="Arial" w:cs="Arial"/>
          <w:szCs w:val="22"/>
        </w:rPr>
        <w:t>compared to the training requirements of the existing</w:t>
      </w:r>
      <w:r w:rsidRPr="00E94C90">
        <w:rPr>
          <w:rFonts w:ascii="Arial" w:hAnsi="Arial" w:cs="Arial"/>
          <w:szCs w:val="22"/>
        </w:rPr>
        <w:t xml:space="preserve"> regimes across the various jurisdictions.</w:t>
      </w:r>
    </w:p>
    <w:p w:rsidR="00345E4D" w:rsidRPr="00E94C90" w:rsidRDefault="00345E4D" w:rsidP="006C3410">
      <w:pPr>
        <w:spacing w:line="288" w:lineRule="auto"/>
        <w:rPr>
          <w:szCs w:val="22"/>
        </w:rPr>
      </w:pPr>
    </w:p>
    <w:p w:rsidR="00345E4D" w:rsidRDefault="00345E4D">
      <w:pPr>
        <w:jc w:val="left"/>
        <w:rPr>
          <w:rFonts w:ascii="Arial" w:hAnsi="Arial" w:cs="Arial"/>
          <w:b/>
        </w:rPr>
      </w:pPr>
      <w:r>
        <w:rPr>
          <w:rFonts w:ascii="Arial" w:hAnsi="Arial" w:cs="Arial"/>
          <w:b/>
        </w:rPr>
        <w:br w:type="page"/>
      </w:r>
    </w:p>
    <w:p w:rsidR="00345E4D" w:rsidRPr="0089328C" w:rsidRDefault="00345E4D" w:rsidP="005E39A6">
      <w:pPr>
        <w:pStyle w:val="Heading1"/>
      </w:pPr>
      <w:bookmarkStart w:id="37" w:name="_Toc310510849"/>
      <w:r w:rsidRPr="0089328C">
        <w:t>A</w:t>
      </w:r>
      <w:r>
        <w:t>nnexure</w:t>
      </w:r>
      <w:r w:rsidRPr="0089328C">
        <w:t xml:space="preserve"> </w:t>
      </w:r>
      <w:r>
        <w:t>E</w:t>
      </w:r>
      <w:r>
        <w:tab/>
      </w:r>
      <w:r>
        <w:tab/>
      </w:r>
      <w:r w:rsidRPr="0089328C">
        <w:t>Complaint Data Comparisons</w:t>
      </w:r>
      <w:bookmarkEnd w:id="37"/>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To provide some perspective on the very low level of complaints raised each year by consumers in relation to the very high volume of debtor contacts by the Collections sector it is appropriate to look to the level of complaints experienced by other organisations and/or industries</w:t>
      </w:r>
      <w:r>
        <w:rPr>
          <w:rStyle w:val="Emphasis"/>
          <w:rFonts w:ascii="Arial" w:hAnsi="Arial" w:cs="Arial"/>
          <w:i w:val="0"/>
        </w:rPr>
        <w:t>.</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The Commonwealth Ombudsman handles complaints from consumers dissatisfied with Commonwealth Departments and Services – the Ombudsman’s most recent annual report</w:t>
      </w:r>
      <w:r w:rsidRPr="0089328C">
        <w:rPr>
          <w:rStyle w:val="FootnoteReference"/>
          <w:rFonts w:ascii="Arial" w:hAnsi="Arial" w:cs="Arial"/>
          <w:iCs/>
        </w:rPr>
        <w:footnoteReference w:id="16"/>
      </w:r>
      <w:r w:rsidRPr="0089328C">
        <w:rPr>
          <w:rStyle w:val="Emphasis"/>
          <w:rFonts w:ascii="Arial" w:hAnsi="Arial" w:cs="Arial"/>
          <w:i w:val="0"/>
        </w:rPr>
        <w:t xml:space="preserve"> details in respect to the total of 17,407 complaints received in relation to Commonwealth activities, specific complaints included:</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2,626</w:t>
      </w:r>
      <w:r w:rsidRPr="0089328C">
        <w:rPr>
          <w:rStyle w:val="Emphasis"/>
          <w:rFonts w:ascii="Arial" w:hAnsi="Arial" w:cs="Arial"/>
          <w:i w:val="0"/>
        </w:rPr>
        <w:tab/>
        <w:t>Australia Post</w:t>
      </w:r>
      <w:r w:rsidRPr="0089328C">
        <w:rPr>
          <w:rStyle w:val="Emphasis"/>
          <w:rFonts w:ascii="Arial" w:hAnsi="Arial" w:cs="Arial"/>
          <w:i w:val="0"/>
        </w:rPr>
        <w:tab/>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1,810</w:t>
      </w:r>
      <w:r w:rsidRPr="0089328C">
        <w:rPr>
          <w:rStyle w:val="Emphasis"/>
          <w:rFonts w:ascii="Arial" w:hAnsi="Arial" w:cs="Arial"/>
          <w:i w:val="0"/>
        </w:rPr>
        <w:tab/>
        <w:t>Australian Taxation Office</w:t>
      </w:r>
      <w:r w:rsidRPr="0089328C">
        <w:rPr>
          <w:rStyle w:val="Emphasis"/>
          <w:rFonts w:ascii="Arial" w:hAnsi="Arial" w:cs="Arial"/>
          <w:i w:val="0"/>
        </w:rPr>
        <w:tab/>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5,199</w:t>
      </w:r>
      <w:r w:rsidRPr="0089328C">
        <w:rPr>
          <w:rStyle w:val="Emphasis"/>
          <w:rFonts w:ascii="Arial" w:hAnsi="Arial" w:cs="Arial"/>
          <w:i w:val="0"/>
        </w:rPr>
        <w:tab/>
        <w:t>Centrelink</w:t>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2,280</w:t>
      </w:r>
      <w:r w:rsidRPr="0089328C">
        <w:rPr>
          <w:rStyle w:val="Emphasis"/>
          <w:rFonts w:ascii="Arial" w:hAnsi="Arial" w:cs="Arial"/>
          <w:i w:val="0"/>
        </w:rPr>
        <w:tab/>
        <w:t>Child Support Agency</w:t>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153</w:t>
      </w:r>
      <w:r w:rsidRPr="0089328C">
        <w:rPr>
          <w:rStyle w:val="Emphasis"/>
          <w:rFonts w:ascii="Arial" w:hAnsi="Arial" w:cs="Arial"/>
          <w:i w:val="0"/>
        </w:rPr>
        <w:tab/>
        <w:t>Dept of Climate Change &amp; Energy Efficiency</w:t>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1,600</w:t>
      </w:r>
      <w:r w:rsidRPr="0089328C">
        <w:rPr>
          <w:rStyle w:val="Emphasis"/>
          <w:rFonts w:ascii="Arial" w:hAnsi="Arial" w:cs="Arial"/>
          <w:i w:val="0"/>
        </w:rPr>
        <w:tab/>
        <w:t>Dept of Immigration &amp; Citizenship</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The NSW Ombudsman handles complaints from persons dissatisfied with NSW Government Departments and Services – he has reported</w:t>
      </w:r>
      <w:r w:rsidRPr="0089328C">
        <w:rPr>
          <w:rStyle w:val="FootnoteReference"/>
          <w:rFonts w:ascii="Arial" w:hAnsi="Arial" w:cs="Arial"/>
          <w:iCs/>
        </w:rPr>
        <w:footnoteReference w:id="17"/>
      </w:r>
      <w:r w:rsidRPr="0089328C">
        <w:rPr>
          <w:rStyle w:val="Emphasis"/>
          <w:rFonts w:ascii="Arial" w:hAnsi="Arial" w:cs="Arial"/>
          <w:i w:val="0"/>
        </w:rPr>
        <w:t xml:space="preserve"> 8</w:t>
      </w:r>
      <w:r>
        <w:rPr>
          <w:rStyle w:val="Emphasis"/>
          <w:rFonts w:ascii="Arial" w:hAnsi="Arial" w:cs="Arial"/>
          <w:i w:val="0"/>
        </w:rPr>
        <w:t>,</w:t>
      </w:r>
      <w:r w:rsidRPr="0089328C">
        <w:rPr>
          <w:rStyle w:val="Emphasis"/>
          <w:rFonts w:ascii="Arial" w:hAnsi="Arial" w:cs="Arial"/>
          <w:i w:val="0"/>
        </w:rPr>
        <w:t>917 formal and 24,147 informal complaints were received in the 2010-11 year and noted formal complaints included:</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1,381</w:t>
      </w:r>
      <w:r w:rsidRPr="0089328C">
        <w:rPr>
          <w:rStyle w:val="Emphasis"/>
          <w:rFonts w:ascii="Arial" w:hAnsi="Arial" w:cs="Arial"/>
          <w:i w:val="0"/>
        </w:rPr>
        <w:tab/>
        <w:t>Departments &amp; authorities</w:t>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912</w:t>
      </w:r>
      <w:r w:rsidRPr="0089328C">
        <w:rPr>
          <w:rStyle w:val="Emphasis"/>
          <w:rFonts w:ascii="Arial" w:hAnsi="Arial" w:cs="Arial"/>
          <w:i w:val="0"/>
        </w:rPr>
        <w:tab/>
        <w:t>Local government</w:t>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864</w:t>
      </w:r>
      <w:r w:rsidRPr="0089328C">
        <w:rPr>
          <w:rStyle w:val="Emphasis"/>
          <w:rFonts w:ascii="Arial" w:hAnsi="Arial" w:cs="Arial"/>
          <w:i w:val="0"/>
        </w:rPr>
        <w:tab/>
        <w:t>Correctional centres and Justice Health</w:t>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865</w:t>
      </w:r>
      <w:r w:rsidRPr="0089328C">
        <w:rPr>
          <w:rStyle w:val="Emphasis"/>
          <w:rFonts w:ascii="Arial" w:hAnsi="Arial" w:cs="Arial"/>
          <w:i w:val="0"/>
        </w:rPr>
        <w:tab/>
        <w:t>Employment related child protection</w:t>
      </w:r>
    </w:p>
    <w:p w:rsidR="00345E4D" w:rsidRPr="0089328C" w:rsidRDefault="00345E4D" w:rsidP="005E39A6">
      <w:pPr>
        <w:tabs>
          <w:tab w:val="left" w:pos="993"/>
        </w:tabs>
        <w:spacing w:line="288" w:lineRule="auto"/>
        <w:rPr>
          <w:rStyle w:val="Emphasis"/>
          <w:rFonts w:ascii="Arial" w:hAnsi="Arial" w:cs="Arial"/>
          <w:i w:val="0"/>
        </w:rPr>
      </w:pPr>
      <w:r w:rsidRPr="0089328C">
        <w:rPr>
          <w:rStyle w:val="Emphasis"/>
          <w:rFonts w:ascii="Arial" w:hAnsi="Arial" w:cs="Arial"/>
          <w:i w:val="0"/>
        </w:rPr>
        <w:t>3,256</w:t>
      </w:r>
      <w:r w:rsidRPr="0089328C">
        <w:rPr>
          <w:rStyle w:val="Emphasis"/>
          <w:rFonts w:ascii="Arial" w:hAnsi="Arial" w:cs="Arial"/>
          <w:i w:val="0"/>
        </w:rPr>
        <w:tab/>
        <w:t>NSW Police</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The Telecommunications Industry Ombudsman has reported</w:t>
      </w:r>
      <w:r w:rsidRPr="0089328C">
        <w:rPr>
          <w:rStyle w:val="FootnoteReference"/>
          <w:rFonts w:ascii="Arial" w:hAnsi="Arial" w:cs="Arial"/>
          <w:iCs/>
        </w:rPr>
        <w:footnoteReference w:id="18"/>
      </w:r>
      <w:r w:rsidRPr="0089328C">
        <w:rPr>
          <w:rStyle w:val="Emphasis"/>
          <w:rFonts w:ascii="Arial" w:hAnsi="Arial" w:cs="Arial"/>
          <w:i w:val="0"/>
        </w:rPr>
        <w:t xml:space="preserve"> new complaints received from consumers in relation to telecommunication suppliers totalled 197,682 in 2010-11.</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The Energy &amp; Water Ombudsman NSW has reported</w:t>
      </w:r>
      <w:r w:rsidRPr="0089328C">
        <w:rPr>
          <w:rStyle w:val="FootnoteReference"/>
          <w:rFonts w:ascii="Arial" w:hAnsi="Arial" w:cs="Arial"/>
          <w:iCs/>
        </w:rPr>
        <w:footnoteReference w:id="19"/>
      </w:r>
      <w:r w:rsidRPr="0089328C">
        <w:rPr>
          <w:rStyle w:val="Emphasis"/>
          <w:rFonts w:ascii="Arial" w:hAnsi="Arial" w:cs="Arial"/>
          <w:i w:val="0"/>
        </w:rPr>
        <w:t xml:space="preserve"> handling a total of 15,048 consumer disputes about all electricity and gas suppliers in NSW and some water suppliers during the 2009-10 year.</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The Private Hospital Insurance Ombudsman has reported</w:t>
      </w:r>
      <w:r w:rsidRPr="0089328C">
        <w:rPr>
          <w:rStyle w:val="FootnoteReference"/>
          <w:rFonts w:ascii="Arial" w:hAnsi="Arial" w:cs="Arial"/>
          <w:iCs/>
        </w:rPr>
        <w:footnoteReference w:id="20"/>
      </w:r>
      <w:r w:rsidRPr="0089328C">
        <w:rPr>
          <w:rStyle w:val="Emphasis"/>
          <w:rFonts w:ascii="Arial" w:hAnsi="Arial" w:cs="Arial"/>
          <w:i w:val="0"/>
        </w:rPr>
        <w:t xml:space="preserve"> complaints received in respect to private health insurers totalled 3070 in 2010-11 and 2610 in 2009-2010.   Complaints made to Medicare Australia</w:t>
      </w:r>
      <w:r w:rsidRPr="0089328C">
        <w:rPr>
          <w:rStyle w:val="FootnoteReference"/>
          <w:rFonts w:ascii="Arial" w:hAnsi="Arial" w:cs="Arial"/>
          <w:iCs/>
        </w:rPr>
        <w:footnoteReference w:id="21"/>
      </w:r>
      <w:r w:rsidRPr="0089328C">
        <w:rPr>
          <w:rStyle w:val="Emphasis"/>
          <w:rFonts w:ascii="Arial" w:hAnsi="Arial" w:cs="Arial"/>
          <w:i w:val="0"/>
        </w:rPr>
        <w:t xml:space="preserve"> in 2010-11 numbered 4471.</w:t>
      </w:r>
    </w:p>
    <w:p w:rsidR="00345E4D" w:rsidRPr="0089328C" w:rsidRDefault="00345E4D" w:rsidP="005E39A6">
      <w:pPr>
        <w:spacing w:line="288" w:lineRule="auto"/>
        <w:rPr>
          <w:rStyle w:val="Emphasis"/>
          <w:rFonts w:ascii="Arial" w:hAnsi="Arial" w:cs="Arial"/>
          <w:i w:val="0"/>
        </w:rPr>
      </w:pPr>
    </w:p>
    <w:p w:rsidR="00345E4D"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The Financial Services Ombudsman (FOS) handles disputes from consumers in relation to its members’ financial products and services and has reported</w:t>
      </w:r>
      <w:r w:rsidRPr="0089328C">
        <w:rPr>
          <w:rStyle w:val="FootnoteReference"/>
          <w:rFonts w:ascii="Arial" w:hAnsi="Arial" w:cs="Arial"/>
          <w:iCs/>
        </w:rPr>
        <w:footnoteReference w:id="22"/>
      </w:r>
      <w:r w:rsidRPr="0089328C">
        <w:rPr>
          <w:rStyle w:val="Emphasis"/>
          <w:rFonts w:ascii="Arial" w:hAnsi="Arial" w:cs="Arial"/>
          <w:i w:val="0"/>
        </w:rPr>
        <w:t xml:space="preserve"> a total of 24,953 disputes in 2009-10, made up in part as:</w:t>
      </w:r>
    </w:p>
    <w:p w:rsidR="00345E4D" w:rsidRPr="0089328C" w:rsidRDefault="00345E4D" w:rsidP="005E39A6">
      <w:pPr>
        <w:spacing w:line="288" w:lineRule="auto"/>
        <w:rPr>
          <w:rStyle w:val="Emphasis"/>
          <w:rFonts w:ascii="Arial" w:hAnsi="Arial" w:cs="Arial"/>
          <w:i w:val="0"/>
        </w:rPr>
      </w:pPr>
    </w:p>
    <w:p w:rsidR="00345E4D" w:rsidRPr="0089328C" w:rsidRDefault="00345E4D" w:rsidP="007D7F10">
      <w:pPr>
        <w:tabs>
          <w:tab w:val="left" w:pos="1985"/>
        </w:tabs>
        <w:spacing w:line="288" w:lineRule="auto"/>
        <w:ind w:left="720"/>
        <w:rPr>
          <w:rStyle w:val="Emphasis"/>
          <w:rFonts w:ascii="Arial" w:hAnsi="Arial" w:cs="Arial"/>
          <w:i w:val="0"/>
        </w:rPr>
      </w:pPr>
      <w:r w:rsidRPr="0089328C">
        <w:rPr>
          <w:rStyle w:val="Emphasis"/>
          <w:rFonts w:ascii="Arial" w:hAnsi="Arial" w:cs="Arial"/>
          <w:i w:val="0"/>
        </w:rPr>
        <w:t>10,112</w:t>
      </w:r>
      <w:r w:rsidRPr="0089328C">
        <w:rPr>
          <w:rStyle w:val="Emphasis"/>
          <w:rFonts w:ascii="Arial" w:hAnsi="Arial" w:cs="Arial"/>
          <w:i w:val="0"/>
        </w:rPr>
        <w:tab/>
        <w:t>Credit</w:t>
      </w:r>
    </w:p>
    <w:p w:rsidR="00345E4D" w:rsidRPr="0089328C" w:rsidRDefault="00345E4D" w:rsidP="007D7F10">
      <w:pPr>
        <w:tabs>
          <w:tab w:val="left" w:pos="1985"/>
        </w:tabs>
        <w:spacing w:line="288" w:lineRule="auto"/>
        <w:ind w:left="720"/>
        <w:rPr>
          <w:rStyle w:val="Emphasis"/>
          <w:rFonts w:ascii="Arial" w:hAnsi="Arial" w:cs="Arial"/>
          <w:i w:val="0"/>
        </w:rPr>
      </w:pPr>
      <w:r>
        <w:rPr>
          <w:rStyle w:val="Emphasis"/>
          <w:rFonts w:ascii="Arial" w:hAnsi="Arial" w:cs="Arial"/>
          <w:i w:val="0"/>
        </w:rPr>
        <w:t xml:space="preserve">  </w:t>
      </w:r>
      <w:r w:rsidRPr="0089328C">
        <w:rPr>
          <w:rStyle w:val="Emphasis"/>
          <w:rFonts w:ascii="Arial" w:hAnsi="Arial" w:cs="Arial"/>
          <w:i w:val="0"/>
        </w:rPr>
        <w:t>7,964</w:t>
      </w:r>
      <w:r w:rsidRPr="0089328C">
        <w:rPr>
          <w:rStyle w:val="Emphasis"/>
          <w:rFonts w:ascii="Arial" w:hAnsi="Arial" w:cs="Arial"/>
          <w:i w:val="0"/>
        </w:rPr>
        <w:tab/>
        <w:t>Insurance</w:t>
      </w:r>
    </w:p>
    <w:p w:rsidR="00345E4D" w:rsidRPr="0089328C" w:rsidRDefault="00345E4D" w:rsidP="007D7F10">
      <w:pPr>
        <w:tabs>
          <w:tab w:val="left" w:pos="1985"/>
        </w:tabs>
        <w:spacing w:line="288" w:lineRule="auto"/>
        <w:ind w:left="720"/>
        <w:rPr>
          <w:rStyle w:val="Emphasis"/>
          <w:rFonts w:ascii="Arial" w:hAnsi="Arial" w:cs="Arial"/>
          <w:i w:val="0"/>
        </w:rPr>
      </w:pPr>
      <w:r>
        <w:rPr>
          <w:rStyle w:val="Emphasis"/>
          <w:rFonts w:ascii="Arial" w:hAnsi="Arial" w:cs="Arial"/>
          <w:i w:val="0"/>
        </w:rPr>
        <w:t xml:space="preserve">  </w:t>
      </w:r>
      <w:r w:rsidRPr="0089328C">
        <w:rPr>
          <w:rStyle w:val="Emphasis"/>
          <w:rFonts w:ascii="Arial" w:hAnsi="Arial" w:cs="Arial"/>
          <w:i w:val="0"/>
        </w:rPr>
        <w:t>2,022</w:t>
      </w:r>
      <w:r w:rsidRPr="0089328C">
        <w:rPr>
          <w:rStyle w:val="Emphasis"/>
          <w:rFonts w:ascii="Arial" w:hAnsi="Arial" w:cs="Arial"/>
          <w:i w:val="0"/>
        </w:rPr>
        <w:tab/>
        <w:t>Payment systems</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Of the disputes reported on by FOS for the 2009-10 year, only 199 related to debt collectors or debt buyers.</w:t>
      </w:r>
    </w:p>
    <w:p w:rsidR="00345E4D" w:rsidRPr="0089328C" w:rsidRDefault="00345E4D" w:rsidP="005E39A6">
      <w:pPr>
        <w:spacing w:line="288" w:lineRule="auto"/>
        <w:rPr>
          <w:rStyle w:val="Emphasis"/>
          <w:rFonts w:ascii="Arial" w:hAnsi="Arial" w:cs="Arial"/>
          <w:i w:val="0"/>
        </w:rPr>
      </w:pPr>
    </w:p>
    <w:p w:rsidR="00345E4D" w:rsidRPr="0089328C" w:rsidRDefault="00345E4D" w:rsidP="005E39A6">
      <w:pPr>
        <w:spacing w:line="288" w:lineRule="auto"/>
        <w:rPr>
          <w:rStyle w:val="Emphasis"/>
          <w:rFonts w:ascii="Arial" w:hAnsi="Arial" w:cs="Arial"/>
          <w:i w:val="0"/>
        </w:rPr>
      </w:pPr>
      <w:r w:rsidRPr="0089328C">
        <w:rPr>
          <w:rStyle w:val="Emphasis"/>
          <w:rFonts w:ascii="Arial" w:hAnsi="Arial" w:cs="Arial"/>
          <w:i w:val="0"/>
        </w:rPr>
        <w:t>The Credit Ombudsman Service (COSL) handles disputes from consumers in relation to member financial services providers.  COSL has reported</w:t>
      </w:r>
      <w:r w:rsidRPr="0089328C">
        <w:rPr>
          <w:rStyle w:val="FootnoteReference"/>
          <w:rFonts w:ascii="Arial" w:hAnsi="Arial" w:cs="Arial"/>
          <w:iCs/>
        </w:rPr>
        <w:footnoteReference w:id="23"/>
      </w:r>
      <w:r w:rsidRPr="0089328C">
        <w:rPr>
          <w:rStyle w:val="Emphasis"/>
          <w:rFonts w:ascii="Arial" w:hAnsi="Arial" w:cs="Arial"/>
          <w:i w:val="0"/>
        </w:rPr>
        <w:t xml:space="preserve"> a total of 1153 complaints were received in 2009-10 from consumers, only 78 of which related to debt collection.</w:t>
      </w:r>
    </w:p>
    <w:p w:rsidR="00345E4D" w:rsidRDefault="00345E4D">
      <w:pPr>
        <w:jc w:val="left"/>
        <w:rPr>
          <w:rFonts w:ascii="Arial" w:hAnsi="Arial" w:cs="Arial"/>
          <w:b/>
        </w:rPr>
      </w:pPr>
      <w:r>
        <w:rPr>
          <w:rFonts w:ascii="Arial" w:hAnsi="Arial" w:cs="Arial"/>
          <w:b/>
        </w:rPr>
        <w:br w:type="page"/>
      </w:r>
    </w:p>
    <w:p w:rsidR="00345E4D" w:rsidRDefault="00345E4D" w:rsidP="00153706">
      <w:pPr>
        <w:pStyle w:val="Heading1"/>
      </w:pPr>
      <w:bookmarkStart w:id="38" w:name="_Toc310510850"/>
      <w:r w:rsidRPr="007A302D">
        <w:t xml:space="preserve">Annexure </w:t>
      </w:r>
      <w:r>
        <w:t>F</w:t>
      </w:r>
      <w:r w:rsidRPr="007A302D">
        <w:t xml:space="preserve"> - ACDBA Membership</w:t>
      </w:r>
      <w:bookmarkEnd w:id="38"/>
    </w:p>
    <w:p w:rsidR="00345E4D" w:rsidRPr="0052693F" w:rsidRDefault="00345E4D" w:rsidP="00153706">
      <w:pPr>
        <w:spacing w:line="288" w:lineRule="auto"/>
        <w:rPr>
          <w:rFonts w:ascii="Arial" w:hAnsi="Arial" w:cs="Arial"/>
          <w:szCs w:val="22"/>
        </w:rPr>
      </w:pPr>
      <w:r w:rsidRPr="0052693F">
        <w:rPr>
          <w:rFonts w:ascii="Arial" w:hAnsi="Arial" w:cs="Arial"/>
          <w:szCs w:val="22"/>
        </w:rPr>
        <w:t>The members of Australian Collectors &amp; Debt Buyers Association are:</w:t>
      </w:r>
    </w:p>
    <w:p w:rsidR="00345E4D" w:rsidRDefault="00345E4D" w:rsidP="00153706">
      <w:pPr>
        <w:rPr>
          <w:rFonts w:ascii="Arial" w:hAnsi="Arial" w:cs="Arial"/>
        </w:rPr>
      </w:pP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ACM Group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Austral Mercantile Collections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Australian Receivables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Baycorp (Aust)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Charter Mercantile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Credit Corp Group Limited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Dun &amp; Bradstreet (Australia)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EC Credit Control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Insolvency Management Services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National Credit Management Limited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Pioneer Credit Management Services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Recoveries Corporation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Shield Mercantile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State Mercantile Pty Ltd</w:t>
      </w:r>
    </w:p>
    <w:p w:rsidR="00345E4D" w:rsidRPr="0052693F" w:rsidRDefault="00345E4D" w:rsidP="00153706">
      <w:pPr>
        <w:pStyle w:val="ListParagraph"/>
        <w:numPr>
          <w:ilvl w:val="0"/>
          <w:numId w:val="16"/>
        </w:numPr>
        <w:autoSpaceDE w:val="0"/>
        <w:autoSpaceDN w:val="0"/>
        <w:adjustRightInd w:val="0"/>
        <w:spacing w:after="200" w:line="288" w:lineRule="auto"/>
        <w:rPr>
          <w:rFonts w:ascii="Arial" w:hAnsi="Arial" w:cs="Arial"/>
          <w:szCs w:val="22"/>
        </w:rPr>
      </w:pPr>
      <w:r w:rsidRPr="0052693F">
        <w:rPr>
          <w:rFonts w:ascii="Arial" w:hAnsi="Arial" w:cs="Arial"/>
          <w:szCs w:val="22"/>
        </w:rPr>
        <w:t>The ARMS Group Pty Ltd</w:t>
      </w:r>
    </w:p>
    <w:p w:rsidR="00345E4D" w:rsidRPr="006C3410" w:rsidRDefault="00345E4D" w:rsidP="006C3410">
      <w:pPr>
        <w:jc w:val="left"/>
        <w:rPr>
          <w:rFonts w:ascii="Arial" w:hAnsi="Arial" w:cs="Arial"/>
          <w:b/>
        </w:rPr>
      </w:pPr>
    </w:p>
    <w:sectPr w:rsidR="00345E4D" w:rsidRPr="006C3410" w:rsidSect="002F5287">
      <w:headerReference w:type="default" r:id="rId10"/>
      <w:footerReference w:type="default" r:id="rId11"/>
      <w:headerReference w:type="first" r:id="rId12"/>
      <w:footerReference w:type="first" r:id="rId13"/>
      <w:pgSz w:w="11906" w:h="16838" w:code="9"/>
      <w:pgMar w:top="1633" w:right="851" w:bottom="993" w:left="85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4D" w:rsidRDefault="00345E4D">
      <w:r>
        <w:separator/>
      </w:r>
    </w:p>
  </w:endnote>
  <w:endnote w:type="continuationSeparator" w:id="0">
    <w:p w:rsidR="00345E4D" w:rsidRDefault="00345E4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ulim">
    <w:altName w:val="¡¾¨ù¢¬©÷"/>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D" w:rsidRDefault="00345E4D">
    <w:pPr>
      <w:pStyle w:val="Footer"/>
      <w:pBdr>
        <w:top w:val="single" w:sz="4" w:space="1" w:color="D9D9D9"/>
      </w:pBdr>
      <w:jc w:val="right"/>
    </w:pPr>
    <w:r w:rsidRPr="00AE1F72">
      <w:rPr>
        <w:rFonts w:ascii="Arial" w:hAnsi="Arial" w:cs="Arial"/>
        <w:color w:val="002060"/>
      </w:rPr>
      <w:fldChar w:fldCharType="begin"/>
    </w:r>
    <w:r w:rsidRPr="00AE1F72">
      <w:rPr>
        <w:rFonts w:ascii="Arial" w:hAnsi="Arial" w:cs="Arial"/>
        <w:color w:val="002060"/>
      </w:rPr>
      <w:instrText xml:space="preserve"> PAGE   \* MERGEFORMAT </w:instrText>
    </w:r>
    <w:r w:rsidRPr="00AE1F72">
      <w:rPr>
        <w:rFonts w:ascii="Arial" w:hAnsi="Arial" w:cs="Arial"/>
        <w:color w:val="002060"/>
      </w:rPr>
      <w:fldChar w:fldCharType="separate"/>
    </w:r>
    <w:r>
      <w:rPr>
        <w:rFonts w:ascii="Arial" w:hAnsi="Arial" w:cs="Arial"/>
        <w:noProof/>
        <w:color w:val="002060"/>
      </w:rPr>
      <w:t>35</w:t>
    </w:r>
    <w:r w:rsidRPr="00AE1F72">
      <w:rPr>
        <w:rFonts w:ascii="Arial" w:hAnsi="Arial" w:cs="Arial"/>
        <w:color w:val="002060"/>
      </w:rPr>
      <w:fldChar w:fldCharType="end"/>
    </w:r>
    <w:r w:rsidRPr="00AE1F72">
      <w:rPr>
        <w:rFonts w:ascii="Arial" w:hAnsi="Arial" w:cs="Arial"/>
        <w:color w:val="002060"/>
      </w:rPr>
      <w:t xml:space="preserve"> </w:t>
    </w:r>
    <w:r w:rsidRPr="00155BAD">
      <w:rPr>
        <w:rFonts w:ascii="Arial" w:hAnsi="Arial" w:cs="Arial"/>
        <w:color w:val="4F81BD"/>
        <w:shd w:val="clear" w:color="auto" w:fill="4F81BD"/>
      </w:rPr>
      <w:t>|</w:t>
    </w:r>
    <w:r w:rsidRPr="00AE1F72">
      <w:rPr>
        <w:rFonts w:ascii="Arial" w:hAnsi="Arial" w:cs="Arial"/>
        <w:color w:val="002060"/>
      </w:rPr>
      <w:t xml:space="preserve"> </w:t>
    </w:r>
    <w:r w:rsidRPr="00AE1F72">
      <w:rPr>
        <w:rFonts w:ascii="Arial" w:hAnsi="Arial" w:cs="Arial"/>
        <w:color w:val="002060"/>
        <w:spacing w:val="60"/>
      </w:rPr>
      <w:t>Page</w:t>
    </w:r>
  </w:p>
  <w:p w:rsidR="00345E4D" w:rsidRDefault="00345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D" w:rsidRPr="009F7AF9" w:rsidRDefault="00345E4D" w:rsidP="009F7AF9">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ACDBA Letterhead footer" style="position:absolute;left:0;text-align:left;margin-left:-5pt;margin-top:-30.5pt;width:520.1pt;height:44.45pt;z-index:-251654144;visibility:visible" wrapcoords="-31 0 -31 21234 21600 21234 21600 0 -31 0">
          <v:imagedata r:id="rId1" o:title=""/>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4D" w:rsidRDefault="00345E4D">
      <w:r>
        <w:separator/>
      </w:r>
    </w:p>
  </w:footnote>
  <w:footnote w:type="continuationSeparator" w:id="0">
    <w:p w:rsidR="00345E4D" w:rsidRDefault="00345E4D">
      <w:r>
        <w:continuationSeparator/>
      </w:r>
    </w:p>
  </w:footnote>
  <w:footnote w:id="1">
    <w:p w:rsidR="00345E4D" w:rsidRDefault="00345E4D" w:rsidP="00B45C7B">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Refer Annexure F for listing of members of ACDBA.</w:t>
      </w:r>
    </w:p>
  </w:footnote>
  <w:footnote w:id="2">
    <w:p w:rsidR="00345E4D" w:rsidRDefault="00345E4D" w:rsidP="005E39A6">
      <w:pPr>
        <w:pStyle w:val="FootnoteText"/>
      </w:pPr>
      <w:r w:rsidRPr="00B6048C">
        <w:rPr>
          <w:rStyle w:val="FootnoteReference"/>
          <w:rFonts w:ascii="Arial" w:hAnsi="Arial" w:cs="Arial"/>
          <w:i/>
          <w:sz w:val="18"/>
          <w:szCs w:val="18"/>
        </w:rPr>
        <w:footnoteRef/>
      </w:r>
      <w:r>
        <w:rPr>
          <w:rFonts w:ascii="Arial" w:hAnsi="Arial" w:cs="Arial"/>
          <w:i/>
          <w:sz w:val="18"/>
          <w:szCs w:val="18"/>
        </w:rPr>
        <w:t xml:space="preserve"> 2009-10 Annual R</w:t>
      </w:r>
      <w:r w:rsidRPr="00B6048C">
        <w:rPr>
          <w:rFonts w:ascii="Arial" w:hAnsi="Arial" w:cs="Arial"/>
          <w:i/>
          <w:sz w:val="18"/>
          <w:szCs w:val="18"/>
        </w:rPr>
        <w:t xml:space="preserve">eport of the Financial Ombudsman Service </w:t>
      </w:r>
      <w:hyperlink r:id="rId1" w:history="1">
        <w:r w:rsidRPr="00B6048C">
          <w:rPr>
            <w:rStyle w:val="Hyperlink"/>
            <w:rFonts w:ascii="Arial" w:eastAsia="Gulim" w:hAnsi="Arial" w:cs="Arial"/>
            <w:i/>
            <w:sz w:val="18"/>
            <w:szCs w:val="18"/>
          </w:rPr>
          <w:t>www.fos.org.au</w:t>
        </w:r>
      </w:hyperlink>
      <w:r w:rsidRPr="00B6048C">
        <w:rPr>
          <w:rFonts w:ascii="Arial" w:hAnsi="Arial" w:cs="Arial"/>
          <w:i/>
          <w:sz w:val="18"/>
          <w:szCs w:val="18"/>
        </w:rPr>
        <w:t xml:space="preserve"> </w:t>
      </w:r>
    </w:p>
  </w:footnote>
  <w:footnote w:id="3">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on Operations of the Credit Ombudsman Service </w:t>
      </w:r>
      <w:hyperlink r:id="rId2" w:history="1">
        <w:r w:rsidRPr="00B6048C">
          <w:rPr>
            <w:rStyle w:val="Hyperlink"/>
            <w:rFonts w:ascii="Arial" w:eastAsia="Gulim" w:hAnsi="Arial" w:cs="Arial"/>
            <w:i/>
            <w:sz w:val="18"/>
            <w:szCs w:val="18"/>
          </w:rPr>
          <w:t>www.cosl.com.au</w:t>
        </w:r>
      </w:hyperlink>
      <w:r>
        <w:t xml:space="preserve"> </w:t>
      </w:r>
    </w:p>
  </w:footnote>
  <w:footnote w:id="4">
    <w:p w:rsidR="00345E4D" w:rsidRDefault="00345E4D" w:rsidP="00796771">
      <w:pPr>
        <w:pStyle w:val="FootnoteText"/>
        <w:jc w:val="both"/>
      </w:pPr>
      <w:r>
        <w:rPr>
          <w:rStyle w:val="FootnoteReference"/>
        </w:rPr>
        <w:footnoteRef/>
      </w:r>
      <w:r>
        <w:t xml:space="preserve"> </w:t>
      </w:r>
      <w:r w:rsidRPr="00790A27">
        <w:rPr>
          <w:rFonts w:ascii="Arial" w:hAnsi="Arial" w:cs="Arial"/>
          <w:i/>
          <w:sz w:val="18"/>
          <w:szCs w:val="18"/>
        </w:rPr>
        <w:t>Queensland Property Agents and Motor Dealers (Commercial Agency Practice Code of Conduct) Regulations 2001, reg. 5.</w:t>
      </w:r>
    </w:p>
  </w:footnote>
  <w:footnote w:id="5">
    <w:p w:rsidR="00345E4D" w:rsidRDefault="00345E4D" w:rsidP="00F7446F">
      <w:pPr>
        <w:pStyle w:val="FootnoteText"/>
      </w:pPr>
      <w:r w:rsidRPr="00B6048C">
        <w:rPr>
          <w:rStyle w:val="FootnoteReference"/>
          <w:rFonts w:ascii="Arial" w:hAnsi="Arial" w:cs="Arial"/>
          <w:sz w:val="18"/>
          <w:szCs w:val="18"/>
        </w:rPr>
        <w:footnoteRef/>
      </w:r>
      <w:r w:rsidRPr="00B6048C">
        <w:rPr>
          <w:rFonts w:ascii="Arial" w:hAnsi="Arial" w:cs="Arial"/>
          <w:sz w:val="18"/>
          <w:szCs w:val="18"/>
        </w:rPr>
        <w:t xml:space="preserve"> ACDBA members participate in an annual data survey aggregated by ACDBA’s auditors, Messrs Thomas Simpson Partners.</w:t>
      </w:r>
    </w:p>
  </w:footnote>
  <w:footnote w:id="6">
    <w:p w:rsidR="00345E4D" w:rsidRDefault="00345E4D" w:rsidP="00F7446F">
      <w:pPr>
        <w:pStyle w:val="FootnoteText"/>
      </w:pPr>
      <w:r w:rsidRPr="00B6048C">
        <w:rPr>
          <w:rStyle w:val="FootnoteReference"/>
          <w:rFonts w:ascii="Arial" w:hAnsi="Arial" w:cs="Arial"/>
          <w:sz w:val="18"/>
          <w:szCs w:val="18"/>
        </w:rPr>
        <w:footnoteRef/>
      </w:r>
      <w:r w:rsidRPr="00B6048C">
        <w:rPr>
          <w:rFonts w:ascii="Arial" w:hAnsi="Arial" w:cs="Arial"/>
          <w:sz w:val="18"/>
          <w:szCs w:val="18"/>
        </w:rPr>
        <w:t xml:space="preserve"> Refer Annexure F for a listing of members of ACDBA.</w:t>
      </w:r>
    </w:p>
  </w:footnote>
  <w:footnote w:id="7">
    <w:p w:rsidR="00345E4D" w:rsidRDefault="00345E4D" w:rsidP="00D34660">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of the Commonwealth Ombudsman </w:t>
      </w:r>
      <w:hyperlink r:id="rId3" w:history="1">
        <w:r w:rsidRPr="00B6048C">
          <w:rPr>
            <w:rStyle w:val="Hyperlink"/>
            <w:rFonts w:ascii="Arial" w:eastAsia="Gulim" w:hAnsi="Arial" w:cs="Arial"/>
            <w:i/>
            <w:sz w:val="18"/>
            <w:szCs w:val="18"/>
          </w:rPr>
          <w:t>www.ombudsman.gov.au</w:t>
        </w:r>
      </w:hyperlink>
      <w:r w:rsidRPr="00B6048C">
        <w:rPr>
          <w:rFonts w:ascii="Arial" w:hAnsi="Arial" w:cs="Arial"/>
          <w:i/>
          <w:sz w:val="18"/>
          <w:szCs w:val="18"/>
        </w:rPr>
        <w:t xml:space="preserve"> </w:t>
      </w:r>
    </w:p>
  </w:footnote>
  <w:footnote w:id="8">
    <w:p w:rsidR="00345E4D" w:rsidRDefault="00345E4D" w:rsidP="00D34660">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2010-11 Annual Report of the NSW Ombudsman </w:t>
      </w:r>
      <w:hyperlink r:id="rId4" w:history="1">
        <w:r w:rsidRPr="00B6048C">
          <w:rPr>
            <w:rStyle w:val="Hyperlink"/>
            <w:rFonts w:ascii="Arial" w:eastAsia="Gulim" w:hAnsi="Arial" w:cs="Arial"/>
            <w:i/>
            <w:sz w:val="18"/>
            <w:szCs w:val="18"/>
          </w:rPr>
          <w:t>www.ombo.nsw.gov.au</w:t>
        </w:r>
      </w:hyperlink>
      <w:r>
        <w:t xml:space="preserve"> </w:t>
      </w:r>
    </w:p>
  </w:footnote>
  <w:footnote w:id="9">
    <w:p w:rsidR="00345E4D" w:rsidRDefault="00345E4D" w:rsidP="00D34660">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2011 Annual Report of the Telecommunications Industry Ombudsman </w:t>
      </w:r>
      <w:hyperlink r:id="rId5" w:history="1">
        <w:r w:rsidRPr="00B6048C">
          <w:rPr>
            <w:rStyle w:val="Hyperlink"/>
            <w:rFonts w:ascii="Arial" w:eastAsia="Gulim" w:hAnsi="Arial" w:cs="Arial"/>
            <w:i/>
            <w:sz w:val="18"/>
            <w:szCs w:val="18"/>
          </w:rPr>
          <w:t>http://annualreport.tio.com.au</w:t>
        </w:r>
      </w:hyperlink>
      <w:r w:rsidRPr="00B6048C">
        <w:rPr>
          <w:rFonts w:ascii="Arial" w:hAnsi="Arial" w:cs="Arial"/>
          <w:i/>
          <w:sz w:val="18"/>
          <w:szCs w:val="18"/>
        </w:rPr>
        <w:t xml:space="preserve"> </w:t>
      </w:r>
    </w:p>
  </w:footnote>
  <w:footnote w:id="10">
    <w:p w:rsidR="00345E4D" w:rsidRDefault="00345E4D" w:rsidP="00D34660">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of t</w:t>
      </w:r>
      <w:r w:rsidRPr="00B6048C">
        <w:rPr>
          <w:rStyle w:val="Emphasis"/>
          <w:rFonts w:ascii="Arial" w:hAnsi="Arial" w:cs="Arial"/>
          <w:i w:val="0"/>
          <w:sz w:val="18"/>
          <w:szCs w:val="18"/>
        </w:rPr>
        <w:t xml:space="preserve">he Energy &amp; Water Ombudsman NSW </w:t>
      </w:r>
      <w:hyperlink r:id="rId6" w:history="1">
        <w:r w:rsidRPr="00B6048C">
          <w:rPr>
            <w:rStyle w:val="Hyperlink"/>
            <w:rFonts w:ascii="Arial" w:eastAsia="Gulim" w:hAnsi="Arial" w:cs="Arial"/>
            <w:i/>
            <w:sz w:val="18"/>
            <w:szCs w:val="18"/>
          </w:rPr>
          <w:t>www.ewon.com.au</w:t>
        </w:r>
      </w:hyperlink>
      <w:r w:rsidRPr="00B6048C">
        <w:rPr>
          <w:rStyle w:val="Emphasis"/>
          <w:rFonts w:ascii="Arial" w:hAnsi="Arial" w:cs="Arial"/>
          <w:i w:val="0"/>
          <w:sz w:val="18"/>
          <w:szCs w:val="18"/>
        </w:rPr>
        <w:t xml:space="preserve"> </w:t>
      </w:r>
    </w:p>
  </w:footnote>
  <w:footnote w:id="11">
    <w:p w:rsidR="00345E4D" w:rsidRDefault="00345E4D" w:rsidP="00D34660">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2011 Annual Report of the Private Health Insurance Ombudsman </w:t>
      </w:r>
      <w:hyperlink r:id="rId7" w:history="1">
        <w:r w:rsidRPr="00B6048C">
          <w:rPr>
            <w:rStyle w:val="Hyperlink"/>
            <w:rFonts w:ascii="Arial" w:eastAsia="Gulim" w:hAnsi="Arial" w:cs="Arial"/>
            <w:i/>
            <w:sz w:val="18"/>
            <w:szCs w:val="18"/>
          </w:rPr>
          <w:t>www.phio.org.au</w:t>
        </w:r>
      </w:hyperlink>
    </w:p>
  </w:footnote>
  <w:footnote w:id="12">
    <w:p w:rsidR="00345E4D" w:rsidRDefault="00345E4D" w:rsidP="00D34660">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Dept of Human Services Annual Reports 2010-11: Medicare Annual Report 2010-11, Chapter 6 - Customer Service </w:t>
      </w:r>
      <w:hyperlink r:id="rId8" w:history="1">
        <w:r w:rsidRPr="00B6048C">
          <w:rPr>
            <w:rStyle w:val="Hyperlink"/>
            <w:rFonts w:ascii="Arial" w:eastAsia="Gulim" w:hAnsi="Arial" w:cs="Arial"/>
            <w:i/>
            <w:sz w:val="18"/>
            <w:szCs w:val="18"/>
          </w:rPr>
          <w:t>www.humanservices.gov.au</w:t>
        </w:r>
      </w:hyperlink>
      <w:r w:rsidRPr="00B6048C">
        <w:rPr>
          <w:rFonts w:ascii="Arial" w:hAnsi="Arial" w:cs="Arial"/>
          <w:i/>
          <w:sz w:val="18"/>
          <w:szCs w:val="18"/>
        </w:rPr>
        <w:t xml:space="preserve"> </w:t>
      </w:r>
    </w:p>
  </w:footnote>
  <w:footnote w:id="13">
    <w:p w:rsidR="00345E4D" w:rsidRDefault="00345E4D" w:rsidP="00D34660">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of the Financial Ombudsman Service </w:t>
      </w:r>
      <w:hyperlink r:id="rId9" w:history="1">
        <w:r w:rsidRPr="00B6048C">
          <w:rPr>
            <w:rStyle w:val="Hyperlink"/>
            <w:rFonts w:ascii="Arial" w:eastAsia="Gulim" w:hAnsi="Arial" w:cs="Arial"/>
            <w:i/>
            <w:sz w:val="18"/>
            <w:szCs w:val="18"/>
          </w:rPr>
          <w:t>www.fos.org.au</w:t>
        </w:r>
      </w:hyperlink>
      <w:r w:rsidRPr="00B6048C">
        <w:rPr>
          <w:rFonts w:ascii="Arial" w:hAnsi="Arial" w:cs="Arial"/>
          <w:i/>
          <w:sz w:val="18"/>
          <w:szCs w:val="18"/>
        </w:rPr>
        <w:t xml:space="preserve"> </w:t>
      </w:r>
    </w:p>
  </w:footnote>
  <w:footnote w:id="14">
    <w:p w:rsidR="00345E4D" w:rsidRDefault="00345E4D" w:rsidP="00D34660">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on Operations of the Credit Ombudsman Service </w:t>
      </w:r>
      <w:hyperlink r:id="rId10" w:history="1">
        <w:r w:rsidRPr="00B6048C">
          <w:rPr>
            <w:rStyle w:val="Hyperlink"/>
            <w:rFonts w:ascii="Arial" w:eastAsia="Gulim" w:hAnsi="Arial" w:cs="Arial"/>
            <w:i/>
            <w:sz w:val="18"/>
            <w:szCs w:val="18"/>
          </w:rPr>
          <w:t>www.cosl.com.au</w:t>
        </w:r>
      </w:hyperlink>
      <w:r>
        <w:t xml:space="preserve"> </w:t>
      </w:r>
    </w:p>
  </w:footnote>
  <w:footnote w:id="15">
    <w:p w:rsidR="00345E4D" w:rsidRDefault="00345E4D" w:rsidP="006C3410">
      <w:pPr>
        <w:pStyle w:val="FootnoteText"/>
        <w:jc w:val="both"/>
      </w:pPr>
      <w:r>
        <w:rPr>
          <w:rStyle w:val="FootnoteReference"/>
        </w:rPr>
        <w:footnoteRef/>
      </w:r>
      <w:r>
        <w:t xml:space="preserve"> </w:t>
      </w:r>
      <w:r w:rsidRPr="00790A27">
        <w:rPr>
          <w:rFonts w:ascii="Arial" w:hAnsi="Arial" w:cs="Arial"/>
          <w:i/>
          <w:sz w:val="18"/>
          <w:szCs w:val="18"/>
        </w:rPr>
        <w:t>Queensland Property Agents and Motor Dealers (Commercial Agency Practice Code of Conduct) Regulations 2001, reg. 5.</w:t>
      </w:r>
    </w:p>
  </w:footnote>
  <w:footnote w:id="16">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of the Commonwealth Ombudsman </w:t>
      </w:r>
      <w:hyperlink r:id="rId11" w:history="1">
        <w:r w:rsidRPr="00B6048C">
          <w:rPr>
            <w:rStyle w:val="Hyperlink"/>
            <w:rFonts w:ascii="Arial" w:eastAsia="Gulim" w:hAnsi="Arial" w:cs="Arial"/>
            <w:i/>
            <w:sz w:val="18"/>
            <w:szCs w:val="18"/>
          </w:rPr>
          <w:t>www.ombudsman.gov.au</w:t>
        </w:r>
      </w:hyperlink>
      <w:r w:rsidRPr="00B6048C">
        <w:rPr>
          <w:rFonts w:ascii="Arial" w:hAnsi="Arial" w:cs="Arial"/>
          <w:i/>
          <w:sz w:val="18"/>
          <w:szCs w:val="18"/>
        </w:rPr>
        <w:t xml:space="preserve"> </w:t>
      </w:r>
    </w:p>
  </w:footnote>
  <w:footnote w:id="17">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2010-11 Annual Report of the NSW Ombudsman </w:t>
      </w:r>
      <w:hyperlink r:id="rId12" w:history="1">
        <w:r w:rsidRPr="00B6048C">
          <w:rPr>
            <w:rStyle w:val="Hyperlink"/>
            <w:rFonts w:ascii="Arial" w:eastAsia="Gulim" w:hAnsi="Arial" w:cs="Arial"/>
            <w:i/>
            <w:sz w:val="18"/>
            <w:szCs w:val="18"/>
          </w:rPr>
          <w:t>www.ombo.nsw.gov.au</w:t>
        </w:r>
      </w:hyperlink>
      <w:r w:rsidRPr="00B6048C">
        <w:rPr>
          <w:rFonts w:ascii="Arial" w:hAnsi="Arial" w:cs="Arial"/>
          <w:i/>
          <w:sz w:val="18"/>
          <w:szCs w:val="18"/>
        </w:rPr>
        <w:t xml:space="preserve"> </w:t>
      </w:r>
    </w:p>
  </w:footnote>
  <w:footnote w:id="18">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2011 Annual Report of the Telecommunications Industry Ombudsman </w:t>
      </w:r>
      <w:hyperlink r:id="rId13" w:history="1">
        <w:r w:rsidRPr="00B6048C">
          <w:rPr>
            <w:rStyle w:val="Hyperlink"/>
            <w:rFonts w:ascii="Arial" w:eastAsia="Gulim" w:hAnsi="Arial" w:cs="Arial"/>
            <w:i/>
            <w:sz w:val="18"/>
            <w:szCs w:val="18"/>
          </w:rPr>
          <w:t>http://annualreport.tio.com.au</w:t>
        </w:r>
      </w:hyperlink>
      <w:r w:rsidRPr="00B6048C">
        <w:rPr>
          <w:rFonts w:ascii="Arial" w:hAnsi="Arial" w:cs="Arial"/>
          <w:i/>
          <w:sz w:val="18"/>
          <w:szCs w:val="18"/>
        </w:rPr>
        <w:t xml:space="preserve"> </w:t>
      </w:r>
    </w:p>
  </w:footnote>
  <w:footnote w:id="19">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of t</w:t>
      </w:r>
      <w:r w:rsidRPr="00B6048C">
        <w:rPr>
          <w:rStyle w:val="Emphasis"/>
          <w:rFonts w:ascii="Arial" w:hAnsi="Arial" w:cs="Arial"/>
          <w:i w:val="0"/>
          <w:sz w:val="18"/>
          <w:szCs w:val="18"/>
        </w:rPr>
        <w:t xml:space="preserve">he Energy &amp; Water Ombudsman NSW </w:t>
      </w:r>
      <w:hyperlink r:id="rId14" w:history="1">
        <w:r w:rsidRPr="00B6048C">
          <w:rPr>
            <w:rStyle w:val="Hyperlink"/>
            <w:rFonts w:ascii="Arial" w:eastAsia="Gulim" w:hAnsi="Arial" w:cs="Arial"/>
            <w:i/>
            <w:sz w:val="18"/>
            <w:szCs w:val="18"/>
          </w:rPr>
          <w:t>www.ewon.com.au</w:t>
        </w:r>
      </w:hyperlink>
      <w:r w:rsidRPr="00B6048C">
        <w:rPr>
          <w:rStyle w:val="Emphasis"/>
          <w:rFonts w:ascii="Arial" w:hAnsi="Arial" w:cs="Arial"/>
          <w:i w:val="0"/>
          <w:sz w:val="18"/>
          <w:szCs w:val="18"/>
        </w:rPr>
        <w:t xml:space="preserve"> </w:t>
      </w:r>
    </w:p>
  </w:footnote>
  <w:footnote w:id="20">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2011 Annual Report of the Private Health Insurance Ombudsman </w:t>
      </w:r>
      <w:hyperlink r:id="rId15" w:history="1">
        <w:r w:rsidRPr="00B6048C">
          <w:rPr>
            <w:rStyle w:val="Hyperlink"/>
            <w:rFonts w:ascii="Arial" w:eastAsia="Gulim" w:hAnsi="Arial" w:cs="Arial"/>
            <w:i/>
            <w:sz w:val="18"/>
            <w:szCs w:val="18"/>
          </w:rPr>
          <w:t>www.phio.org.au</w:t>
        </w:r>
      </w:hyperlink>
    </w:p>
  </w:footnote>
  <w:footnote w:id="21">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Dept of Human Services Annual Reports 2010-11: Medicare Annual Report 2010-11, Chapter 6 - Customer Service </w:t>
      </w:r>
      <w:hyperlink r:id="rId16" w:history="1">
        <w:r w:rsidRPr="00B6048C">
          <w:rPr>
            <w:rStyle w:val="Hyperlink"/>
            <w:rFonts w:ascii="Arial" w:eastAsia="Gulim" w:hAnsi="Arial" w:cs="Arial"/>
            <w:i/>
            <w:sz w:val="18"/>
            <w:szCs w:val="18"/>
          </w:rPr>
          <w:t>www.humanservices.gov.au</w:t>
        </w:r>
      </w:hyperlink>
      <w:r>
        <w:t xml:space="preserve"> </w:t>
      </w:r>
    </w:p>
  </w:footnote>
  <w:footnote w:id="22">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of the Financial Ombudsman Service </w:t>
      </w:r>
      <w:hyperlink r:id="rId17" w:history="1">
        <w:r w:rsidRPr="00B6048C">
          <w:rPr>
            <w:rStyle w:val="Hyperlink"/>
            <w:rFonts w:ascii="Arial" w:eastAsia="Gulim" w:hAnsi="Arial" w:cs="Arial"/>
            <w:i/>
            <w:sz w:val="18"/>
            <w:szCs w:val="18"/>
          </w:rPr>
          <w:t>www.fos.org.au</w:t>
        </w:r>
      </w:hyperlink>
      <w:r w:rsidRPr="00B6048C">
        <w:rPr>
          <w:rFonts w:ascii="Arial" w:hAnsi="Arial" w:cs="Arial"/>
          <w:i/>
          <w:sz w:val="18"/>
          <w:szCs w:val="18"/>
        </w:rPr>
        <w:t xml:space="preserve"> </w:t>
      </w:r>
    </w:p>
  </w:footnote>
  <w:footnote w:id="23">
    <w:p w:rsidR="00345E4D" w:rsidRDefault="00345E4D" w:rsidP="005E39A6">
      <w:pPr>
        <w:pStyle w:val="FootnoteText"/>
      </w:pPr>
      <w:r w:rsidRPr="00B6048C">
        <w:rPr>
          <w:rStyle w:val="FootnoteReference"/>
          <w:rFonts w:ascii="Arial" w:hAnsi="Arial" w:cs="Arial"/>
          <w:i/>
          <w:sz w:val="18"/>
          <w:szCs w:val="18"/>
        </w:rPr>
        <w:footnoteRef/>
      </w:r>
      <w:r w:rsidRPr="00B6048C">
        <w:rPr>
          <w:rFonts w:ascii="Arial" w:hAnsi="Arial" w:cs="Arial"/>
          <w:i/>
          <w:sz w:val="18"/>
          <w:szCs w:val="18"/>
        </w:rPr>
        <w:t xml:space="preserve"> 2009-10 Annual Report on Operations of the Credit Ombudsman Service </w:t>
      </w:r>
      <w:hyperlink r:id="rId18" w:history="1">
        <w:r w:rsidRPr="00B6048C">
          <w:rPr>
            <w:rStyle w:val="Hyperlink"/>
            <w:rFonts w:ascii="Arial" w:eastAsia="Gulim" w:hAnsi="Arial" w:cs="Arial"/>
            <w:i/>
            <w:sz w:val="18"/>
            <w:szCs w:val="18"/>
          </w:rPr>
          <w:t>www.cosl.com.au</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454" w:type="pct"/>
      <w:tblInd w:w="-169" w:type="dxa"/>
      <w:tblBorders>
        <w:insideH w:val="single" w:sz="18" w:space="0" w:color="4F81BD"/>
        <w:insideV w:val="single" w:sz="18" w:space="0" w:color="4F81BD"/>
      </w:tblBorders>
      <w:tblCellMar>
        <w:top w:w="58" w:type="dxa"/>
        <w:left w:w="115" w:type="dxa"/>
        <w:bottom w:w="58" w:type="dxa"/>
        <w:right w:w="115" w:type="dxa"/>
      </w:tblCellMar>
      <w:tblLook w:val="00A0"/>
    </w:tblPr>
    <w:tblGrid>
      <w:gridCol w:w="230"/>
      <w:gridCol w:w="8781"/>
    </w:tblGrid>
    <w:tr w:rsidR="00345E4D" w:rsidTr="00CB0594">
      <w:trPr>
        <w:trHeight w:val="788"/>
      </w:trPr>
      <w:tc>
        <w:tcPr>
          <w:tcW w:w="229" w:type="pct"/>
        </w:tcPr>
        <w:p w:rsidR="00345E4D" w:rsidRPr="00AE1F72" w:rsidRDefault="00345E4D" w:rsidP="004D0A1D">
          <w:pPr>
            <w:pStyle w:val="Header"/>
            <w:ind w:left="-284"/>
            <w:rPr>
              <w:color w:val="002060"/>
            </w:rPr>
          </w:pPr>
        </w:p>
      </w:tc>
      <w:tc>
        <w:tcPr>
          <w:tcW w:w="4771" w:type="pct"/>
        </w:tcPr>
        <w:p w:rsidR="00345E4D" w:rsidRPr="00AE1F72" w:rsidRDefault="00345E4D" w:rsidP="004D0A1D">
          <w:pPr>
            <w:pStyle w:val="Header"/>
            <w:jc w:val="left"/>
            <w:rPr>
              <w:rFonts w:ascii="Arial" w:eastAsia="Gulim" w:hAnsi="Arial"/>
              <w:color w:val="002060"/>
              <w:sz w:val="24"/>
            </w:rPr>
          </w:pPr>
          <w:r w:rsidRPr="00AE1F72">
            <w:rPr>
              <w:rFonts w:ascii="Arial" w:eastAsia="Gulim" w:hAnsi="Arial" w:cs="Arial"/>
              <w:color w:val="002060"/>
              <w:sz w:val="24"/>
            </w:rPr>
            <w:t xml:space="preserve">Australian Collectors and Debt Buyers Association                                            Submission to Debt Collection Harmonisation Regulation </w:t>
          </w:r>
          <w:r>
            <w:rPr>
              <w:rFonts w:ascii="Arial" w:eastAsia="Gulim" w:hAnsi="Arial" w:cs="Arial"/>
              <w:color w:val="002060"/>
              <w:sz w:val="24"/>
            </w:rPr>
            <w:t>Review</w:t>
          </w:r>
          <w:r w:rsidRPr="00AE1F72">
            <w:rPr>
              <w:rFonts w:ascii="Arial" w:eastAsia="Gulim" w:hAnsi="Arial" w:cs="Arial"/>
              <w:color w:val="002060"/>
              <w:sz w:val="24"/>
            </w:rPr>
            <w:t xml:space="preserve">                               December 2011</w:t>
          </w:r>
        </w:p>
      </w:tc>
    </w:tr>
  </w:tbl>
  <w:p w:rsidR="00345E4D" w:rsidRPr="00027BF4" w:rsidRDefault="00345E4D" w:rsidP="00027BF4">
    <w:pPr>
      <w:pStyle w:val="Header"/>
      <w:jc w:val="left"/>
      <w:rPr>
        <w:b/>
        <w:color w:val="00206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D" w:rsidRDefault="00345E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ACDBA Letterhead header" style="position:absolute;left:0;text-align:left;margin-left:-9pt;margin-top:0;width:525.85pt;height:141.7pt;z-index:-251656192;visibility:visible" wrapcoords="-31 0 -31 21486 21600 21486 21600 0 -31 0">
          <v:imagedata r:id="rId1"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420"/>
    <w:multiLevelType w:val="hybridMultilevel"/>
    <w:tmpl w:val="57724D1C"/>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6161B00"/>
    <w:multiLevelType w:val="hybridMultilevel"/>
    <w:tmpl w:val="96E8D13E"/>
    <w:lvl w:ilvl="0" w:tplc="0C09001B">
      <w:start w:val="1"/>
      <w:numFmt w:val="lowerRoman"/>
      <w:lvlText w:val="%1."/>
      <w:lvlJc w:val="righ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nsid w:val="08D75CFF"/>
    <w:multiLevelType w:val="hybridMultilevel"/>
    <w:tmpl w:val="C86A0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281E91"/>
    <w:multiLevelType w:val="hybridMultilevel"/>
    <w:tmpl w:val="8A9E44BC"/>
    <w:lvl w:ilvl="0" w:tplc="0C090003">
      <w:start w:val="1"/>
      <w:numFmt w:val="bullet"/>
      <w:lvlText w:val="o"/>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hint="default"/>
      </w:rPr>
    </w:lvl>
    <w:lvl w:ilvl="2" w:tplc="0C090001">
      <w:start w:val="1"/>
      <w:numFmt w:val="bullet"/>
      <w:lvlText w:val=""/>
      <w:lvlJc w:val="left"/>
      <w:pPr>
        <w:ind w:left="2520" w:hanging="360"/>
      </w:pPr>
      <w:rPr>
        <w:rFonts w:ascii="Symbol" w:hAnsi="Symbol" w:hint="default"/>
      </w:rPr>
    </w:lvl>
    <w:lvl w:ilvl="3" w:tplc="887684F8">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0703AF3"/>
    <w:multiLevelType w:val="hybridMultilevel"/>
    <w:tmpl w:val="65E2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316425"/>
    <w:multiLevelType w:val="hybridMultilevel"/>
    <w:tmpl w:val="15940C6A"/>
    <w:lvl w:ilvl="0" w:tplc="0C090013">
      <w:start w:val="1"/>
      <w:numFmt w:val="upperRoman"/>
      <w:lvlText w:val="%1."/>
      <w:lvlJc w:val="righ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CC738E2"/>
    <w:multiLevelType w:val="hybridMultilevel"/>
    <w:tmpl w:val="D22A0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6F247E"/>
    <w:multiLevelType w:val="hybridMultilevel"/>
    <w:tmpl w:val="47FE6D3E"/>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887684F8">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A70825"/>
    <w:multiLevelType w:val="hybridMultilevel"/>
    <w:tmpl w:val="2CC007B4"/>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1337CD"/>
    <w:multiLevelType w:val="hybridMultilevel"/>
    <w:tmpl w:val="D9D44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1227A3"/>
    <w:multiLevelType w:val="hybridMultilevel"/>
    <w:tmpl w:val="911A2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896D78"/>
    <w:multiLevelType w:val="hybridMultilevel"/>
    <w:tmpl w:val="E162F27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1">
      <w:start w:val="1"/>
      <w:numFmt w:val="bullet"/>
      <w:lvlText w:val=""/>
      <w:lvlJc w:val="left"/>
      <w:pPr>
        <w:ind w:left="2520" w:hanging="360"/>
      </w:pPr>
      <w:rPr>
        <w:rFonts w:ascii="Symbol" w:hAnsi="Symbol" w:hint="default"/>
      </w:rPr>
    </w:lvl>
    <w:lvl w:ilvl="3" w:tplc="887684F8">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D27752A"/>
    <w:multiLevelType w:val="hybridMultilevel"/>
    <w:tmpl w:val="3C78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B60CC5"/>
    <w:multiLevelType w:val="hybridMultilevel"/>
    <w:tmpl w:val="1C7A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D53EE1"/>
    <w:multiLevelType w:val="hybridMultilevel"/>
    <w:tmpl w:val="1822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EE3717"/>
    <w:multiLevelType w:val="hybridMultilevel"/>
    <w:tmpl w:val="664290D8"/>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E611B2"/>
    <w:multiLevelType w:val="hybridMultilevel"/>
    <w:tmpl w:val="35741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FA38D7"/>
    <w:multiLevelType w:val="hybridMultilevel"/>
    <w:tmpl w:val="AA4CCCEE"/>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75D7E37"/>
    <w:multiLevelType w:val="hybridMultilevel"/>
    <w:tmpl w:val="2ECEE144"/>
    <w:lvl w:ilvl="0" w:tplc="A840445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B3D2430"/>
    <w:multiLevelType w:val="hybridMultilevel"/>
    <w:tmpl w:val="FE34D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AB7E25"/>
    <w:multiLevelType w:val="hybridMultilevel"/>
    <w:tmpl w:val="3564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CD5412"/>
    <w:multiLevelType w:val="hybridMultilevel"/>
    <w:tmpl w:val="F1001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FD0C88"/>
    <w:multiLevelType w:val="hybridMultilevel"/>
    <w:tmpl w:val="BC12A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385E22"/>
    <w:multiLevelType w:val="hybridMultilevel"/>
    <w:tmpl w:val="4AB8E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2E5B51"/>
    <w:multiLevelType w:val="hybridMultilevel"/>
    <w:tmpl w:val="1CC40EF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62B4120"/>
    <w:multiLevelType w:val="hybridMultilevel"/>
    <w:tmpl w:val="356C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26681B"/>
    <w:multiLevelType w:val="hybridMultilevel"/>
    <w:tmpl w:val="648C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C36E0E"/>
    <w:multiLevelType w:val="hybridMultilevel"/>
    <w:tmpl w:val="C9508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856290"/>
    <w:multiLevelType w:val="hybridMultilevel"/>
    <w:tmpl w:val="E758D3AE"/>
    <w:lvl w:ilvl="0" w:tplc="0C090003">
      <w:start w:val="1"/>
      <w:numFmt w:val="bullet"/>
      <w:lvlText w:val="o"/>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hint="default"/>
      </w:rPr>
    </w:lvl>
    <w:lvl w:ilvl="2" w:tplc="0C09000B">
      <w:start w:val="1"/>
      <w:numFmt w:val="bullet"/>
      <w:lvlText w:val=""/>
      <w:lvlJc w:val="left"/>
      <w:pPr>
        <w:ind w:left="2520" w:hanging="360"/>
      </w:pPr>
      <w:rPr>
        <w:rFonts w:ascii="Wingdings" w:hAnsi="Wingdings" w:hint="default"/>
      </w:rPr>
    </w:lvl>
    <w:lvl w:ilvl="3" w:tplc="887684F8">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738219BF"/>
    <w:multiLevelType w:val="hybridMultilevel"/>
    <w:tmpl w:val="D0A29040"/>
    <w:lvl w:ilvl="0" w:tplc="04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BAF46EA"/>
    <w:multiLevelType w:val="hybridMultilevel"/>
    <w:tmpl w:val="9A286F54"/>
    <w:lvl w:ilvl="0" w:tplc="04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D4F2224"/>
    <w:multiLevelType w:val="hybridMultilevel"/>
    <w:tmpl w:val="F15E5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8"/>
  </w:num>
  <w:num w:numId="4">
    <w:abstractNumId w:val="3"/>
  </w:num>
  <w:num w:numId="5">
    <w:abstractNumId w:val="11"/>
  </w:num>
  <w:num w:numId="6">
    <w:abstractNumId w:val="0"/>
  </w:num>
  <w:num w:numId="7">
    <w:abstractNumId w:val="7"/>
  </w:num>
  <w:num w:numId="8">
    <w:abstractNumId w:val="1"/>
  </w:num>
  <w:num w:numId="9">
    <w:abstractNumId w:val="6"/>
  </w:num>
  <w:num w:numId="10">
    <w:abstractNumId w:val="13"/>
  </w:num>
  <w:num w:numId="11">
    <w:abstractNumId w:val="26"/>
  </w:num>
  <w:num w:numId="12">
    <w:abstractNumId w:val="10"/>
  </w:num>
  <w:num w:numId="13">
    <w:abstractNumId w:val="5"/>
  </w:num>
  <w:num w:numId="14">
    <w:abstractNumId w:val="30"/>
  </w:num>
  <w:num w:numId="15">
    <w:abstractNumId w:val="29"/>
  </w:num>
  <w:num w:numId="16">
    <w:abstractNumId w:val="8"/>
  </w:num>
  <w:num w:numId="17">
    <w:abstractNumId w:val="15"/>
  </w:num>
  <w:num w:numId="18">
    <w:abstractNumId w:val="23"/>
  </w:num>
  <w:num w:numId="19">
    <w:abstractNumId w:val="17"/>
  </w:num>
  <w:num w:numId="20">
    <w:abstractNumId w:val="4"/>
  </w:num>
  <w:num w:numId="21">
    <w:abstractNumId w:val="22"/>
  </w:num>
  <w:num w:numId="22">
    <w:abstractNumId w:val="16"/>
  </w:num>
  <w:num w:numId="23">
    <w:abstractNumId w:val="12"/>
  </w:num>
  <w:num w:numId="24">
    <w:abstractNumId w:val="14"/>
  </w:num>
  <w:num w:numId="25">
    <w:abstractNumId w:val="21"/>
  </w:num>
  <w:num w:numId="26">
    <w:abstractNumId w:val="9"/>
  </w:num>
  <w:num w:numId="27">
    <w:abstractNumId w:val="19"/>
  </w:num>
  <w:num w:numId="28">
    <w:abstractNumId w:val="31"/>
  </w:num>
  <w:num w:numId="29">
    <w:abstractNumId w:val="25"/>
  </w:num>
  <w:num w:numId="30">
    <w:abstractNumId w:val="24"/>
  </w:num>
  <w:num w:numId="31">
    <w:abstractNumId w:val="2"/>
  </w:num>
  <w:num w:numId="32">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B2A"/>
    <w:rsid w:val="00005007"/>
    <w:rsid w:val="00012E96"/>
    <w:rsid w:val="0001428E"/>
    <w:rsid w:val="00020E00"/>
    <w:rsid w:val="00023BF4"/>
    <w:rsid w:val="00025B0C"/>
    <w:rsid w:val="00027BF4"/>
    <w:rsid w:val="00034B12"/>
    <w:rsid w:val="00041158"/>
    <w:rsid w:val="00054880"/>
    <w:rsid w:val="00063F9E"/>
    <w:rsid w:val="0007514D"/>
    <w:rsid w:val="00080A3C"/>
    <w:rsid w:val="00083EB2"/>
    <w:rsid w:val="00095C35"/>
    <w:rsid w:val="000B1695"/>
    <w:rsid w:val="000B2016"/>
    <w:rsid w:val="000C165E"/>
    <w:rsid w:val="000E0739"/>
    <w:rsid w:val="000F0A3F"/>
    <w:rsid w:val="000F1FAF"/>
    <w:rsid w:val="001008B2"/>
    <w:rsid w:val="0011728A"/>
    <w:rsid w:val="00124F62"/>
    <w:rsid w:val="00141A28"/>
    <w:rsid w:val="00146AA8"/>
    <w:rsid w:val="00146D32"/>
    <w:rsid w:val="00153706"/>
    <w:rsid w:val="001544B4"/>
    <w:rsid w:val="00155BAD"/>
    <w:rsid w:val="00173123"/>
    <w:rsid w:val="001755A2"/>
    <w:rsid w:val="001805DF"/>
    <w:rsid w:val="00180B1B"/>
    <w:rsid w:val="001821CB"/>
    <w:rsid w:val="00182DE4"/>
    <w:rsid w:val="001857AB"/>
    <w:rsid w:val="00187255"/>
    <w:rsid w:val="0019284B"/>
    <w:rsid w:val="001A54CE"/>
    <w:rsid w:val="001C0B9C"/>
    <w:rsid w:val="001D3C33"/>
    <w:rsid w:val="001E0778"/>
    <w:rsid w:val="001F2116"/>
    <w:rsid w:val="00216B7D"/>
    <w:rsid w:val="00220616"/>
    <w:rsid w:val="0022201D"/>
    <w:rsid w:val="002333EE"/>
    <w:rsid w:val="00237FBB"/>
    <w:rsid w:val="00237FD9"/>
    <w:rsid w:val="002550F0"/>
    <w:rsid w:val="00256D5D"/>
    <w:rsid w:val="00273FE5"/>
    <w:rsid w:val="002772EF"/>
    <w:rsid w:val="002828E9"/>
    <w:rsid w:val="00297A1B"/>
    <w:rsid w:val="002A0C8E"/>
    <w:rsid w:val="002A4E5F"/>
    <w:rsid w:val="002A4EF6"/>
    <w:rsid w:val="002A5642"/>
    <w:rsid w:val="002B17B1"/>
    <w:rsid w:val="002B28F1"/>
    <w:rsid w:val="002B53A7"/>
    <w:rsid w:val="002B5D9C"/>
    <w:rsid w:val="002C6B85"/>
    <w:rsid w:val="002E09DA"/>
    <w:rsid w:val="002E3A22"/>
    <w:rsid w:val="002F1908"/>
    <w:rsid w:val="002F3ACD"/>
    <w:rsid w:val="002F4F80"/>
    <w:rsid w:val="002F5287"/>
    <w:rsid w:val="002F55FB"/>
    <w:rsid w:val="002F6558"/>
    <w:rsid w:val="00301A2C"/>
    <w:rsid w:val="0030598A"/>
    <w:rsid w:val="00306D77"/>
    <w:rsid w:val="003073AE"/>
    <w:rsid w:val="003118B4"/>
    <w:rsid w:val="003121DE"/>
    <w:rsid w:val="00332688"/>
    <w:rsid w:val="00334464"/>
    <w:rsid w:val="00343A3E"/>
    <w:rsid w:val="0034559D"/>
    <w:rsid w:val="00345C1D"/>
    <w:rsid w:val="00345E4D"/>
    <w:rsid w:val="00346CD3"/>
    <w:rsid w:val="00370D26"/>
    <w:rsid w:val="0037199C"/>
    <w:rsid w:val="003723AD"/>
    <w:rsid w:val="003732D9"/>
    <w:rsid w:val="00383869"/>
    <w:rsid w:val="00397EAF"/>
    <w:rsid w:val="003A4777"/>
    <w:rsid w:val="003A79C6"/>
    <w:rsid w:val="003C4407"/>
    <w:rsid w:val="003C5D51"/>
    <w:rsid w:val="003D2830"/>
    <w:rsid w:val="00407C28"/>
    <w:rsid w:val="00411141"/>
    <w:rsid w:val="00414159"/>
    <w:rsid w:val="00432BB5"/>
    <w:rsid w:val="00436430"/>
    <w:rsid w:val="00437E4C"/>
    <w:rsid w:val="004462CD"/>
    <w:rsid w:val="00446C81"/>
    <w:rsid w:val="00447751"/>
    <w:rsid w:val="00451A9B"/>
    <w:rsid w:val="0046039F"/>
    <w:rsid w:val="00461B8D"/>
    <w:rsid w:val="00461E59"/>
    <w:rsid w:val="0047043C"/>
    <w:rsid w:val="00470BFA"/>
    <w:rsid w:val="00480225"/>
    <w:rsid w:val="00480C73"/>
    <w:rsid w:val="00481670"/>
    <w:rsid w:val="00483907"/>
    <w:rsid w:val="00485C1F"/>
    <w:rsid w:val="00491095"/>
    <w:rsid w:val="00497D48"/>
    <w:rsid w:val="004A1743"/>
    <w:rsid w:val="004A182C"/>
    <w:rsid w:val="004B06A0"/>
    <w:rsid w:val="004B1A97"/>
    <w:rsid w:val="004B3D5A"/>
    <w:rsid w:val="004B5D38"/>
    <w:rsid w:val="004C0E2A"/>
    <w:rsid w:val="004D0A1D"/>
    <w:rsid w:val="004D6A0C"/>
    <w:rsid w:val="004E4362"/>
    <w:rsid w:val="004F5126"/>
    <w:rsid w:val="00500BAE"/>
    <w:rsid w:val="00503AF2"/>
    <w:rsid w:val="00515F35"/>
    <w:rsid w:val="005176A3"/>
    <w:rsid w:val="00524CD1"/>
    <w:rsid w:val="0052551F"/>
    <w:rsid w:val="0052693F"/>
    <w:rsid w:val="005303DC"/>
    <w:rsid w:val="00530A65"/>
    <w:rsid w:val="0053610F"/>
    <w:rsid w:val="00540615"/>
    <w:rsid w:val="00542A22"/>
    <w:rsid w:val="00547E60"/>
    <w:rsid w:val="00571E00"/>
    <w:rsid w:val="00574D05"/>
    <w:rsid w:val="00583D14"/>
    <w:rsid w:val="0058410E"/>
    <w:rsid w:val="00590E9F"/>
    <w:rsid w:val="005928AD"/>
    <w:rsid w:val="0059609A"/>
    <w:rsid w:val="005A4C47"/>
    <w:rsid w:val="005B2B62"/>
    <w:rsid w:val="005B631C"/>
    <w:rsid w:val="005C3032"/>
    <w:rsid w:val="005C4A00"/>
    <w:rsid w:val="005D1846"/>
    <w:rsid w:val="005D2323"/>
    <w:rsid w:val="005D27D8"/>
    <w:rsid w:val="005D379E"/>
    <w:rsid w:val="005D7C22"/>
    <w:rsid w:val="005D7DFB"/>
    <w:rsid w:val="005E3640"/>
    <w:rsid w:val="005E39A6"/>
    <w:rsid w:val="005E5C2A"/>
    <w:rsid w:val="005F2979"/>
    <w:rsid w:val="0060399E"/>
    <w:rsid w:val="00605FF8"/>
    <w:rsid w:val="00615DEA"/>
    <w:rsid w:val="00617150"/>
    <w:rsid w:val="00626BBA"/>
    <w:rsid w:val="006306E0"/>
    <w:rsid w:val="00632BCE"/>
    <w:rsid w:val="00633454"/>
    <w:rsid w:val="00633CE0"/>
    <w:rsid w:val="00634D47"/>
    <w:rsid w:val="00647CEF"/>
    <w:rsid w:val="00657DF1"/>
    <w:rsid w:val="0067633C"/>
    <w:rsid w:val="00681B35"/>
    <w:rsid w:val="00685B69"/>
    <w:rsid w:val="00696B20"/>
    <w:rsid w:val="006B1C0E"/>
    <w:rsid w:val="006B3EAC"/>
    <w:rsid w:val="006B4CA2"/>
    <w:rsid w:val="006C05D3"/>
    <w:rsid w:val="006C087C"/>
    <w:rsid w:val="006C3248"/>
    <w:rsid w:val="006C3410"/>
    <w:rsid w:val="006C38BA"/>
    <w:rsid w:val="006C59E4"/>
    <w:rsid w:val="006D309D"/>
    <w:rsid w:val="006D53A4"/>
    <w:rsid w:val="006D6A39"/>
    <w:rsid w:val="006E3067"/>
    <w:rsid w:val="006E532B"/>
    <w:rsid w:val="006E59CA"/>
    <w:rsid w:val="006E75F3"/>
    <w:rsid w:val="00704695"/>
    <w:rsid w:val="00704855"/>
    <w:rsid w:val="00721EBD"/>
    <w:rsid w:val="007224B1"/>
    <w:rsid w:val="00732D28"/>
    <w:rsid w:val="00734D07"/>
    <w:rsid w:val="00735EBD"/>
    <w:rsid w:val="00737FCB"/>
    <w:rsid w:val="007427C3"/>
    <w:rsid w:val="00757955"/>
    <w:rsid w:val="00763B68"/>
    <w:rsid w:val="00766B51"/>
    <w:rsid w:val="007708ED"/>
    <w:rsid w:val="00776170"/>
    <w:rsid w:val="0078324F"/>
    <w:rsid w:val="00783650"/>
    <w:rsid w:val="00785F7E"/>
    <w:rsid w:val="00790A27"/>
    <w:rsid w:val="007945E8"/>
    <w:rsid w:val="00796771"/>
    <w:rsid w:val="007A03F5"/>
    <w:rsid w:val="007A2FD6"/>
    <w:rsid w:val="007A302D"/>
    <w:rsid w:val="007A531C"/>
    <w:rsid w:val="007B36A8"/>
    <w:rsid w:val="007B3762"/>
    <w:rsid w:val="007C0095"/>
    <w:rsid w:val="007C119C"/>
    <w:rsid w:val="007C21B8"/>
    <w:rsid w:val="007C59B6"/>
    <w:rsid w:val="007D7F10"/>
    <w:rsid w:val="007E15C3"/>
    <w:rsid w:val="007E6183"/>
    <w:rsid w:val="007F3E6B"/>
    <w:rsid w:val="008003A8"/>
    <w:rsid w:val="008014A6"/>
    <w:rsid w:val="0080379F"/>
    <w:rsid w:val="00807D48"/>
    <w:rsid w:val="00816C62"/>
    <w:rsid w:val="008203D4"/>
    <w:rsid w:val="00822A04"/>
    <w:rsid w:val="00823176"/>
    <w:rsid w:val="00842230"/>
    <w:rsid w:val="00851738"/>
    <w:rsid w:val="00856BD8"/>
    <w:rsid w:val="008579BE"/>
    <w:rsid w:val="0086123A"/>
    <w:rsid w:val="00862456"/>
    <w:rsid w:val="008648D1"/>
    <w:rsid w:val="00870452"/>
    <w:rsid w:val="00872973"/>
    <w:rsid w:val="00884F2B"/>
    <w:rsid w:val="008851DE"/>
    <w:rsid w:val="00892725"/>
    <w:rsid w:val="0089328C"/>
    <w:rsid w:val="008A037C"/>
    <w:rsid w:val="008A4B63"/>
    <w:rsid w:val="008C3D15"/>
    <w:rsid w:val="008C6315"/>
    <w:rsid w:val="008D04F6"/>
    <w:rsid w:val="008D3E45"/>
    <w:rsid w:val="008D464B"/>
    <w:rsid w:val="008D4E73"/>
    <w:rsid w:val="008D60CD"/>
    <w:rsid w:val="008D74F6"/>
    <w:rsid w:val="008E3227"/>
    <w:rsid w:val="008E5BA9"/>
    <w:rsid w:val="00901DA9"/>
    <w:rsid w:val="009045C9"/>
    <w:rsid w:val="00905872"/>
    <w:rsid w:val="00906557"/>
    <w:rsid w:val="0091153F"/>
    <w:rsid w:val="0092088F"/>
    <w:rsid w:val="0092270D"/>
    <w:rsid w:val="009408E6"/>
    <w:rsid w:val="00947768"/>
    <w:rsid w:val="00960272"/>
    <w:rsid w:val="00966112"/>
    <w:rsid w:val="009736B5"/>
    <w:rsid w:val="00974B4F"/>
    <w:rsid w:val="00977C07"/>
    <w:rsid w:val="00977D3E"/>
    <w:rsid w:val="00980C69"/>
    <w:rsid w:val="00980D2E"/>
    <w:rsid w:val="00981348"/>
    <w:rsid w:val="00986B2A"/>
    <w:rsid w:val="009A1C05"/>
    <w:rsid w:val="009A4159"/>
    <w:rsid w:val="009C4B10"/>
    <w:rsid w:val="009C76EF"/>
    <w:rsid w:val="009D0F33"/>
    <w:rsid w:val="009D282E"/>
    <w:rsid w:val="009D51CA"/>
    <w:rsid w:val="009D5833"/>
    <w:rsid w:val="009E3EA1"/>
    <w:rsid w:val="009E50E2"/>
    <w:rsid w:val="009F65E6"/>
    <w:rsid w:val="009F7AF9"/>
    <w:rsid w:val="00A2072A"/>
    <w:rsid w:val="00A3095D"/>
    <w:rsid w:val="00A34375"/>
    <w:rsid w:val="00A358BE"/>
    <w:rsid w:val="00A50759"/>
    <w:rsid w:val="00A515E2"/>
    <w:rsid w:val="00A57B12"/>
    <w:rsid w:val="00A6331F"/>
    <w:rsid w:val="00A7026F"/>
    <w:rsid w:val="00A72AE7"/>
    <w:rsid w:val="00A746C6"/>
    <w:rsid w:val="00A77654"/>
    <w:rsid w:val="00A77774"/>
    <w:rsid w:val="00A8308F"/>
    <w:rsid w:val="00A8455B"/>
    <w:rsid w:val="00A84983"/>
    <w:rsid w:val="00A913BF"/>
    <w:rsid w:val="00AA137A"/>
    <w:rsid w:val="00AA2E0C"/>
    <w:rsid w:val="00AB251D"/>
    <w:rsid w:val="00AB2E53"/>
    <w:rsid w:val="00AB5E64"/>
    <w:rsid w:val="00AB6CCD"/>
    <w:rsid w:val="00AC5B25"/>
    <w:rsid w:val="00AD2D16"/>
    <w:rsid w:val="00AE0BEE"/>
    <w:rsid w:val="00AE1F72"/>
    <w:rsid w:val="00AF108D"/>
    <w:rsid w:val="00AF6E83"/>
    <w:rsid w:val="00B00A7B"/>
    <w:rsid w:val="00B01F45"/>
    <w:rsid w:val="00B036FC"/>
    <w:rsid w:val="00B1351F"/>
    <w:rsid w:val="00B154DA"/>
    <w:rsid w:val="00B33BE7"/>
    <w:rsid w:val="00B45C7B"/>
    <w:rsid w:val="00B52A49"/>
    <w:rsid w:val="00B57807"/>
    <w:rsid w:val="00B57A5A"/>
    <w:rsid w:val="00B6048C"/>
    <w:rsid w:val="00B80D06"/>
    <w:rsid w:val="00BD03E4"/>
    <w:rsid w:val="00BD14FB"/>
    <w:rsid w:val="00BF08D6"/>
    <w:rsid w:val="00C009B5"/>
    <w:rsid w:val="00C019D7"/>
    <w:rsid w:val="00C01C80"/>
    <w:rsid w:val="00C10494"/>
    <w:rsid w:val="00C160F9"/>
    <w:rsid w:val="00C1650D"/>
    <w:rsid w:val="00C31B8B"/>
    <w:rsid w:val="00C366CF"/>
    <w:rsid w:val="00C52CC4"/>
    <w:rsid w:val="00C53C0A"/>
    <w:rsid w:val="00C6004C"/>
    <w:rsid w:val="00C60771"/>
    <w:rsid w:val="00C60907"/>
    <w:rsid w:val="00C70FB5"/>
    <w:rsid w:val="00C73EEF"/>
    <w:rsid w:val="00C768BA"/>
    <w:rsid w:val="00C84544"/>
    <w:rsid w:val="00C85E97"/>
    <w:rsid w:val="00C86409"/>
    <w:rsid w:val="00C876D5"/>
    <w:rsid w:val="00C87F28"/>
    <w:rsid w:val="00C91E20"/>
    <w:rsid w:val="00C939CD"/>
    <w:rsid w:val="00CA106A"/>
    <w:rsid w:val="00CA40E0"/>
    <w:rsid w:val="00CA4A69"/>
    <w:rsid w:val="00CA7F77"/>
    <w:rsid w:val="00CB0594"/>
    <w:rsid w:val="00CB3CF7"/>
    <w:rsid w:val="00CB4FFE"/>
    <w:rsid w:val="00CB60C5"/>
    <w:rsid w:val="00CB6BE8"/>
    <w:rsid w:val="00CC01D1"/>
    <w:rsid w:val="00CC168D"/>
    <w:rsid w:val="00CC7701"/>
    <w:rsid w:val="00CD4B64"/>
    <w:rsid w:val="00CE0A8B"/>
    <w:rsid w:val="00CE1BA6"/>
    <w:rsid w:val="00CF2D1C"/>
    <w:rsid w:val="00CF68E8"/>
    <w:rsid w:val="00D047AC"/>
    <w:rsid w:val="00D23EFE"/>
    <w:rsid w:val="00D25CDD"/>
    <w:rsid w:val="00D34660"/>
    <w:rsid w:val="00D37246"/>
    <w:rsid w:val="00D44927"/>
    <w:rsid w:val="00D46E36"/>
    <w:rsid w:val="00D54184"/>
    <w:rsid w:val="00D650F5"/>
    <w:rsid w:val="00D7023B"/>
    <w:rsid w:val="00D711AB"/>
    <w:rsid w:val="00D76BF4"/>
    <w:rsid w:val="00D81499"/>
    <w:rsid w:val="00D84DE2"/>
    <w:rsid w:val="00D87B66"/>
    <w:rsid w:val="00D97C72"/>
    <w:rsid w:val="00DA0F68"/>
    <w:rsid w:val="00DA5F0B"/>
    <w:rsid w:val="00DA7867"/>
    <w:rsid w:val="00DB48A8"/>
    <w:rsid w:val="00DB78AB"/>
    <w:rsid w:val="00DC0E95"/>
    <w:rsid w:val="00DC7B88"/>
    <w:rsid w:val="00DD1296"/>
    <w:rsid w:val="00DD58ED"/>
    <w:rsid w:val="00DE0A3B"/>
    <w:rsid w:val="00DE2AE3"/>
    <w:rsid w:val="00DF0CFF"/>
    <w:rsid w:val="00DF7431"/>
    <w:rsid w:val="00DF774C"/>
    <w:rsid w:val="00E06894"/>
    <w:rsid w:val="00E176DF"/>
    <w:rsid w:val="00E17B76"/>
    <w:rsid w:val="00E26189"/>
    <w:rsid w:val="00E2747A"/>
    <w:rsid w:val="00E27A7A"/>
    <w:rsid w:val="00E37CA8"/>
    <w:rsid w:val="00E400B7"/>
    <w:rsid w:val="00E40F94"/>
    <w:rsid w:val="00E433AC"/>
    <w:rsid w:val="00E54005"/>
    <w:rsid w:val="00E663B0"/>
    <w:rsid w:val="00E67FE7"/>
    <w:rsid w:val="00E7084E"/>
    <w:rsid w:val="00E75444"/>
    <w:rsid w:val="00E9339A"/>
    <w:rsid w:val="00E94C90"/>
    <w:rsid w:val="00EA0E7D"/>
    <w:rsid w:val="00EA3FA5"/>
    <w:rsid w:val="00EB71A6"/>
    <w:rsid w:val="00EC2704"/>
    <w:rsid w:val="00EC7CDB"/>
    <w:rsid w:val="00EE1C8A"/>
    <w:rsid w:val="00EF004E"/>
    <w:rsid w:val="00EF7CA6"/>
    <w:rsid w:val="00F00073"/>
    <w:rsid w:val="00F00337"/>
    <w:rsid w:val="00F01B56"/>
    <w:rsid w:val="00F13DD7"/>
    <w:rsid w:val="00F15737"/>
    <w:rsid w:val="00F20182"/>
    <w:rsid w:val="00F239BD"/>
    <w:rsid w:val="00F26C9F"/>
    <w:rsid w:val="00F35C34"/>
    <w:rsid w:val="00F37483"/>
    <w:rsid w:val="00F3749F"/>
    <w:rsid w:val="00F57D67"/>
    <w:rsid w:val="00F70947"/>
    <w:rsid w:val="00F71082"/>
    <w:rsid w:val="00F7446F"/>
    <w:rsid w:val="00F8061E"/>
    <w:rsid w:val="00F82D5D"/>
    <w:rsid w:val="00F8651C"/>
    <w:rsid w:val="00F87E01"/>
    <w:rsid w:val="00F87FAD"/>
    <w:rsid w:val="00F946B8"/>
    <w:rsid w:val="00FA236B"/>
    <w:rsid w:val="00FC47E0"/>
    <w:rsid w:val="00FC6645"/>
    <w:rsid w:val="00FC6EEF"/>
    <w:rsid w:val="00FD3802"/>
    <w:rsid w:val="00FE1B60"/>
    <w:rsid w:val="00FE3BE3"/>
    <w:rsid w:val="00FF15BC"/>
    <w:rsid w:val="00FF4AD1"/>
    <w:rsid w:val="00FF6C9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0D06"/>
    <w:pPr>
      <w:jc w:val="both"/>
    </w:pPr>
    <w:rPr>
      <w:rFonts w:ascii="Arial Narrow" w:hAnsi="Arial Narrow"/>
      <w:szCs w:val="24"/>
    </w:rPr>
  </w:style>
  <w:style w:type="paragraph" w:styleId="Heading1">
    <w:name w:val="heading 1"/>
    <w:basedOn w:val="Title"/>
    <w:next w:val="Normal"/>
    <w:link w:val="Heading1Char"/>
    <w:uiPriority w:val="99"/>
    <w:qFormat/>
    <w:rsid w:val="002828E9"/>
    <w:pPr>
      <w:outlineLvl w:val="0"/>
    </w:pPr>
  </w:style>
  <w:style w:type="paragraph" w:styleId="Heading2">
    <w:name w:val="heading 2"/>
    <w:basedOn w:val="Normal"/>
    <w:next w:val="Normal"/>
    <w:link w:val="Heading2Char"/>
    <w:uiPriority w:val="99"/>
    <w:qFormat/>
    <w:rsid w:val="00A77654"/>
    <w:pPr>
      <w:keepNext/>
      <w:spacing w:before="180" w:after="240"/>
      <w:outlineLvl w:val="1"/>
    </w:pPr>
    <w:rPr>
      <w:rFonts w:ascii="Arial" w:hAnsi="Arial" w:cs="Arial"/>
      <w:b/>
      <w:bCs/>
      <w:i/>
      <w:iCs/>
      <w:color w:val="002060"/>
      <w:sz w:val="30"/>
      <w:szCs w:val="28"/>
    </w:rPr>
  </w:style>
  <w:style w:type="paragraph" w:styleId="Heading3">
    <w:name w:val="heading 3"/>
    <w:basedOn w:val="Normal"/>
    <w:next w:val="Normal"/>
    <w:link w:val="Heading3Char"/>
    <w:uiPriority w:val="99"/>
    <w:qFormat/>
    <w:rsid w:val="00461B8D"/>
    <w:pPr>
      <w:spacing w:line="288" w:lineRule="auto"/>
      <w:outlineLvl w:val="2"/>
    </w:pPr>
    <w:rPr>
      <w:rFonts w:ascii="Arial" w:hAnsi="Arial" w:cs="Arial"/>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8E9"/>
    <w:rPr>
      <w:rFonts w:ascii="Arial" w:eastAsia="Gulim" w:hAnsi="Arial" w:cs="Times New Roman"/>
      <w:color w:val="17365D"/>
      <w:spacing w:val="5"/>
      <w:kern w:val="28"/>
      <w:sz w:val="44"/>
      <w:szCs w:val="44"/>
    </w:rPr>
  </w:style>
  <w:style w:type="character" w:customStyle="1" w:styleId="Heading2Char">
    <w:name w:val="Heading 2 Char"/>
    <w:basedOn w:val="DefaultParagraphFont"/>
    <w:link w:val="Heading2"/>
    <w:uiPriority w:val="9"/>
    <w:semiHidden/>
    <w:rsid w:val="000B7DB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B7DBB"/>
    <w:rPr>
      <w:rFonts w:asciiTheme="majorHAnsi" w:eastAsiaTheme="majorEastAsia" w:hAnsiTheme="majorHAnsi" w:cstheme="majorBidi"/>
      <w:b/>
      <w:bCs/>
      <w:sz w:val="26"/>
      <w:szCs w:val="26"/>
    </w:rPr>
  </w:style>
  <w:style w:type="paragraph" w:styleId="Header">
    <w:name w:val="header"/>
    <w:basedOn w:val="Normal"/>
    <w:link w:val="HeaderChar"/>
    <w:uiPriority w:val="99"/>
    <w:rsid w:val="009F7AF9"/>
    <w:pPr>
      <w:tabs>
        <w:tab w:val="center" w:pos="4320"/>
        <w:tab w:val="right" w:pos="8640"/>
      </w:tabs>
    </w:pPr>
  </w:style>
  <w:style w:type="character" w:customStyle="1" w:styleId="HeaderChar">
    <w:name w:val="Header Char"/>
    <w:basedOn w:val="DefaultParagraphFont"/>
    <w:link w:val="Header"/>
    <w:uiPriority w:val="99"/>
    <w:locked/>
    <w:rsid w:val="00027BF4"/>
    <w:rPr>
      <w:rFonts w:ascii="Arial Narrow" w:hAnsi="Arial Narrow" w:cs="Times New Roman"/>
      <w:sz w:val="24"/>
      <w:szCs w:val="24"/>
    </w:rPr>
  </w:style>
  <w:style w:type="paragraph" w:styleId="Footer">
    <w:name w:val="footer"/>
    <w:basedOn w:val="Normal"/>
    <w:link w:val="FooterChar"/>
    <w:uiPriority w:val="99"/>
    <w:rsid w:val="009F7AF9"/>
    <w:pPr>
      <w:tabs>
        <w:tab w:val="center" w:pos="4320"/>
        <w:tab w:val="right" w:pos="8640"/>
      </w:tabs>
    </w:pPr>
  </w:style>
  <w:style w:type="character" w:customStyle="1" w:styleId="FooterChar">
    <w:name w:val="Footer Char"/>
    <w:basedOn w:val="DefaultParagraphFont"/>
    <w:link w:val="Footer"/>
    <w:uiPriority w:val="99"/>
    <w:locked/>
    <w:rsid w:val="00027BF4"/>
    <w:rPr>
      <w:rFonts w:ascii="Arial Narrow" w:hAnsi="Arial Narrow" w:cs="Times New Roman"/>
      <w:sz w:val="24"/>
      <w:szCs w:val="24"/>
    </w:rPr>
  </w:style>
  <w:style w:type="character" w:styleId="Hyperlink">
    <w:name w:val="Hyperlink"/>
    <w:basedOn w:val="DefaultParagraphFont"/>
    <w:uiPriority w:val="99"/>
    <w:rsid w:val="00986B2A"/>
    <w:rPr>
      <w:rFonts w:cs="Times New Roman"/>
      <w:color w:val="0000FF"/>
      <w:u w:val="single"/>
    </w:rPr>
  </w:style>
  <w:style w:type="paragraph" w:styleId="BalloonText">
    <w:name w:val="Balloon Text"/>
    <w:basedOn w:val="Normal"/>
    <w:link w:val="BalloonTextChar"/>
    <w:uiPriority w:val="99"/>
    <w:rsid w:val="00027BF4"/>
    <w:rPr>
      <w:rFonts w:ascii="Tahoma" w:hAnsi="Tahoma" w:cs="Tahoma"/>
      <w:sz w:val="16"/>
      <w:szCs w:val="16"/>
    </w:rPr>
  </w:style>
  <w:style w:type="character" w:customStyle="1" w:styleId="BalloonTextChar">
    <w:name w:val="Balloon Text Char"/>
    <w:basedOn w:val="DefaultParagraphFont"/>
    <w:link w:val="BalloonText"/>
    <w:uiPriority w:val="99"/>
    <w:locked/>
    <w:rsid w:val="00027BF4"/>
    <w:rPr>
      <w:rFonts w:ascii="Tahoma" w:hAnsi="Tahoma" w:cs="Tahoma"/>
      <w:sz w:val="16"/>
      <w:szCs w:val="16"/>
    </w:rPr>
  </w:style>
  <w:style w:type="paragraph" w:styleId="TOCHeading">
    <w:name w:val="TOC Heading"/>
    <w:basedOn w:val="Heading1"/>
    <w:next w:val="Normal"/>
    <w:uiPriority w:val="99"/>
    <w:qFormat/>
    <w:rsid w:val="00872973"/>
    <w:pPr>
      <w:keepLines/>
      <w:spacing w:before="480" w:after="0" w:line="276" w:lineRule="auto"/>
      <w:jc w:val="left"/>
      <w:outlineLvl w:val="9"/>
    </w:pPr>
    <w:rPr>
      <w:color w:val="365F91"/>
      <w:kern w:val="0"/>
      <w:sz w:val="28"/>
      <w:szCs w:val="28"/>
      <w:lang w:val="en-US" w:eastAsia="en-US"/>
    </w:rPr>
  </w:style>
  <w:style w:type="paragraph" w:styleId="TOC2">
    <w:name w:val="toc 2"/>
    <w:basedOn w:val="Normal"/>
    <w:next w:val="Normal"/>
    <w:autoRedefine/>
    <w:uiPriority w:val="99"/>
    <w:rsid w:val="00432BB5"/>
    <w:pPr>
      <w:tabs>
        <w:tab w:val="left" w:pos="0"/>
        <w:tab w:val="left" w:pos="851"/>
        <w:tab w:val="right" w:leader="dot" w:pos="10206"/>
      </w:tabs>
      <w:spacing w:after="100" w:line="276" w:lineRule="auto"/>
      <w:ind w:left="426"/>
      <w:jc w:val="left"/>
    </w:pPr>
    <w:rPr>
      <w:rFonts w:ascii="Arial" w:hAnsi="Arial" w:cs="Arial"/>
      <w:color w:val="17365D"/>
      <w:sz w:val="20"/>
      <w:szCs w:val="20"/>
      <w:lang w:val="en-US" w:eastAsia="ja-JP"/>
    </w:rPr>
  </w:style>
  <w:style w:type="paragraph" w:styleId="TOC1">
    <w:name w:val="toc 1"/>
    <w:basedOn w:val="Normal"/>
    <w:next w:val="Normal"/>
    <w:autoRedefine/>
    <w:uiPriority w:val="99"/>
    <w:rsid w:val="00872973"/>
    <w:pPr>
      <w:spacing w:after="100" w:line="276" w:lineRule="auto"/>
      <w:jc w:val="left"/>
    </w:pPr>
    <w:rPr>
      <w:rFonts w:ascii="Arial" w:hAnsi="Arial" w:cs="Arial"/>
      <w:color w:val="17365D"/>
      <w:sz w:val="20"/>
      <w:szCs w:val="20"/>
      <w:lang w:val="en-US" w:eastAsia="ja-JP"/>
    </w:rPr>
  </w:style>
  <w:style w:type="paragraph" w:styleId="TOC3">
    <w:name w:val="toc 3"/>
    <w:basedOn w:val="Normal"/>
    <w:next w:val="Normal"/>
    <w:autoRedefine/>
    <w:uiPriority w:val="99"/>
    <w:rsid w:val="00872973"/>
    <w:pPr>
      <w:spacing w:after="100" w:line="276" w:lineRule="auto"/>
      <w:ind w:left="440"/>
      <w:jc w:val="left"/>
    </w:pPr>
    <w:rPr>
      <w:rFonts w:ascii="Arial" w:eastAsia="Gulim" w:hAnsi="Arial"/>
      <w:szCs w:val="22"/>
      <w:lang w:val="en-US" w:eastAsia="en-US"/>
    </w:rPr>
  </w:style>
  <w:style w:type="character" w:styleId="Emphasis">
    <w:name w:val="Emphasis"/>
    <w:basedOn w:val="DefaultParagraphFont"/>
    <w:uiPriority w:val="99"/>
    <w:qFormat/>
    <w:rsid w:val="00872973"/>
    <w:rPr>
      <w:rFonts w:cs="Times New Roman"/>
      <w:i/>
      <w:iCs/>
    </w:rPr>
  </w:style>
  <w:style w:type="paragraph" w:styleId="ListParagraph">
    <w:name w:val="List Paragraph"/>
    <w:basedOn w:val="Normal"/>
    <w:uiPriority w:val="99"/>
    <w:qFormat/>
    <w:rsid w:val="005D27D8"/>
    <w:pPr>
      <w:ind w:left="720"/>
      <w:contextualSpacing/>
    </w:pPr>
  </w:style>
  <w:style w:type="character" w:styleId="Strong">
    <w:name w:val="Strong"/>
    <w:basedOn w:val="DefaultParagraphFont"/>
    <w:uiPriority w:val="99"/>
    <w:qFormat/>
    <w:rsid w:val="00E433AC"/>
    <w:rPr>
      <w:rFonts w:cs="Times New Roman"/>
      <w:b/>
      <w:bCs/>
    </w:rPr>
  </w:style>
  <w:style w:type="character" w:styleId="FootnoteReference">
    <w:name w:val="footnote reference"/>
    <w:basedOn w:val="DefaultParagraphFont"/>
    <w:uiPriority w:val="99"/>
    <w:rsid w:val="005F2979"/>
    <w:rPr>
      <w:rFonts w:cs="Times New Roman"/>
      <w:vertAlign w:val="superscript"/>
    </w:rPr>
  </w:style>
  <w:style w:type="paragraph" w:styleId="FootnoteText">
    <w:name w:val="footnote text"/>
    <w:basedOn w:val="Normal"/>
    <w:link w:val="FootnoteTextChar"/>
    <w:uiPriority w:val="99"/>
    <w:rsid w:val="007C21B8"/>
    <w:pPr>
      <w:jc w:val="left"/>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locked/>
    <w:rsid w:val="007C21B8"/>
    <w:rPr>
      <w:rFonts w:cs="Times New Roman"/>
      <w:lang w:eastAsia="en-US"/>
    </w:rPr>
  </w:style>
  <w:style w:type="table" w:styleId="TableGrid">
    <w:name w:val="Table Grid"/>
    <w:basedOn w:val="TableNormal"/>
    <w:uiPriority w:val="99"/>
    <w:rsid w:val="008D04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2828E9"/>
    <w:pPr>
      <w:pBdr>
        <w:bottom w:val="single" w:sz="8" w:space="4" w:color="4F81BD"/>
      </w:pBdr>
      <w:spacing w:after="300"/>
      <w:contextualSpacing/>
    </w:pPr>
    <w:rPr>
      <w:rFonts w:ascii="Arial" w:eastAsia="Gulim" w:hAnsi="Arial"/>
      <w:color w:val="17365D"/>
      <w:spacing w:val="5"/>
      <w:kern w:val="28"/>
      <w:sz w:val="44"/>
      <w:szCs w:val="44"/>
    </w:rPr>
  </w:style>
  <w:style w:type="character" w:customStyle="1" w:styleId="TitleChar">
    <w:name w:val="Title Char"/>
    <w:basedOn w:val="DefaultParagraphFont"/>
    <w:link w:val="Title"/>
    <w:uiPriority w:val="99"/>
    <w:locked/>
    <w:rsid w:val="002828E9"/>
    <w:rPr>
      <w:rFonts w:ascii="Arial" w:eastAsia="Gulim" w:hAnsi="Arial" w:cs="Times New Roman"/>
      <w:color w:val="17365D"/>
      <w:spacing w:val="5"/>
      <w:kern w:val="28"/>
      <w:sz w:val="44"/>
      <w:szCs w:val="44"/>
    </w:rPr>
  </w:style>
  <w:style w:type="paragraph" w:styleId="Subtitle">
    <w:name w:val="Subtitle"/>
    <w:basedOn w:val="Normal"/>
    <w:next w:val="Normal"/>
    <w:link w:val="SubtitleChar"/>
    <w:uiPriority w:val="99"/>
    <w:qFormat/>
    <w:rsid w:val="007A302D"/>
    <w:pPr>
      <w:numPr>
        <w:ilvl w:val="1"/>
      </w:numPr>
    </w:pPr>
    <w:rPr>
      <w:rFonts w:ascii="Arial" w:eastAsia="Gulim" w:hAnsi="Arial"/>
      <w:b/>
      <w:i/>
      <w:iCs/>
      <w:color w:val="002060"/>
      <w:spacing w:val="15"/>
      <w:sz w:val="24"/>
    </w:rPr>
  </w:style>
  <w:style w:type="character" w:customStyle="1" w:styleId="SubtitleChar">
    <w:name w:val="Subtitle Char"/>
    <w:basedOn w:val="DefaultParagraphFont"/>
    <w:link w:val="Subtitle"/>
    <w:uiPriority w:val="99"/>
    <w:locked/>
    <w:rsid w:val="007A302D"/>
    <w:rPr>
      <w:rFonts w:ascii="Arial" w:eastAsia="Gulim" w:hAnsi="Arial" w:cs="Times New Roman"/>
      <w:b/>
      <w:i/>
      <w:iCs/>
      <w:color w:val="002060"/>
      <w:spacing w:val="15"/>
      <w:sz w:val="24"/>
      <w:szCs w:val="24"/>
    </w:rPr>
  </w:style>
  <w:style w:type="character" w:styleId="CommentReference">
    <w:name w:val="annotation reference"/>
    <w:basedOn w:val="DefaultParagraphFont"/>
    <w:uiPriority w:val="99"/>
    <w:rsid w:val="00407C28"/>
    <w:rPr>
      <w:rFonts w:cs="Times New Roman"/>
      <w:sz w:val="16"/>
      <w:szCs w:val="16"/>
    </w:rPr>
  </w:style>
  <w:style w:type="paragraph" w:styleId="CommentText">
    <w:name w:val="annotation text"/>
    <w:basedOn w:val="Normal"/>
    <w:link w:val="CommentTextChar"/>
    <w:uiPriority w:val="99"/>
    <w:rsid w:val="00407C28"/>
    <w:rPr>
      <w:sz w:val="20"/>
      <w:szCs w:val="20"/>
    </w:rPr>
  </w:style>
  <w:style w:type="character" w:customStyle="1" w:styleId="CommentTextChar">
    <w:name w:val="Comment Text Char"/>
    <w:basedOn w:val="DefaultParagraphFont"/>
    <w:link w:val="CommentText"/>
    <w:uiPriority w:val="99"/>
    <w:locked/>
    <w:rsid w:val="00407C28"/>
    <w:rPr>
      <w:rFonts w:ascii="Arial Narrow" w:hAnsi="Arial Narrow" w:cs="Times New Roman"/>
    </w:rPr>
  </w:style>
  <w:style w:type="paragraph" w:styleId="CommentSubject">
    <w:name w:val="annotation subject"/>
    <w:basedOn w:val="CommentText"/>
    <w:next w:val="CommentText"/>
    <w:link w:val="CommentSubjectChar"/>
    <w:uiPriority w:val="99"/>
    <w:rsid w:val="00407C28"/>
    <w:rPr>
      <w:b/>
      <w:bCs/>
    </w:rPr>
  </w:style>
  <w:style w:type="character" w:customStyle="1" w:styleId="CommentSubjectChar">
    <w:name w:val="Comment Subject Char"/>
    <w:basedOn w:val="CommentTextChar"/>
    <w:link w:val="CommentSubject"/>
    <w:uiPriority w:val="99"/>
    <w:locked/>
    <w:rsid w:val="00407C28"/>
    <w:rPr>
      <w:b/>
      <w:bCs/>
    </w:rPr>
  </w:style>
</w:styles>
</file>

<file path=word/webSettings.xml><?xml version="1.0" encoding="utf-8"?>
<w:webSettings xmlns:r="http://schemas.openxmlformats.org/officeDocument/2006/relationships" xmlns:w="http://schemas.openxmlformats.org/wordprocessingml/2006/main">
  <w:divs>
    <w:div w:id="1103961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ebt.collection@justice.vic.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h@acdba.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humanservices.gov.au" TargetMode="External"/><Relationship Id="rId13" Type="http://schemas.openxmlformats.org/officeDocument/2006/relationships/hyperlink" Target="http://annualreport.tio.com.au" TargetMode="External"/><Relationship Id="rId18" Type="http://schemas.openxmlformats.org/officeDocument/2006/relationships/hyperlink" Target="http://www.cosl.com.au" TargetMode="External"/><Relationship Id="rId3" Type="http://schemas.openxmlformats.org/officeDocument/2006/relationships/hyperlink" Target="http://www.ombudsman.gov.au" TargetMode="External"/><Relationship Id="rId7" Type="http://schemas.openxmlformats.org/officeDocument/2006/relationships/hyperlink" Target="http://www.phio.org.au" TargetMode="External"/><Relationship Id="rId12" Type="http://schemas.openxmlformats.org/officeDocument/2006/relationships/hyperlink" Target="http://www.ombo.nsw.gov.au" TargetMode="External"/><Relationship Id="rId17" Type="http://schemas.openxmlformats.org/officeDocument/2006/relationships/hyperlink" Target="http://www.fos.org.au" TargetMode="External"/><Relationship Id="rId2" Type="http://schemas.openxmlformats.org/officeDocument/2006/relationships/hyperlink" Target="http://www.cosl.com.au" TargetMode="External"/><Relationship Id="rId16" Type="http://schemas.openxmlformats.org/officeDocument/2006/relationships/hyperlink" Target="http://www.humanservices.gov.au" TargetMode="External"/><Relationship Id="rId1" Type="http://schemas.openxmlformats.org/officeDocument/2006/relationships/hyperlink" Target="http://www.fos.org.au" TargetMode="External"/><Relationship Id="rId6" Type="http://schemas.openxmlformats.org/officeDocument/2006/relationships/hyperlink" Target="http://www.ewon.com.au" TargetMode="External"/><Relationship Id="rId11" Type="http://schemas.openxmlformats.org/officeDocument/2006/relationships/hyperlink" Target="http://www.ombudsman.gov.au" TargetMode="External"/><Relationship Id="rId5" Type="http://schemas.openxmlformats.org/officeDocument/2006/relationships/hyperlink" Target="http://annualreport.tio.com.au" TargetMode="External"/><Relationship Id="rId15" Type="http://schemas.openxmlformats.org/officeDocument/2006/relationships/hyperlink" Target="http://www.phio.org.au" TargetMode="External"/><Relationship Id="rId10" Type="http://schemas.openxmlformats.org/officeDocument/2006/relationships/hyperlink" Target="http://www.cosl.com.au" TargetMode="External"/><Relationship Id="rId4" Type="http://schemas.openxmlformats.org/officeDocument/2006/relationships/hyperlink" Target="http://www.ombo.nsw.gov.au" TargetMode="External"/><Relationship Id="rId9" Type="http://schemas.openxmlformats.org/officeDocument/2006/relationships/hyperlink" Target="http://www.fos.org.au" TargetMode="External"/><Relationship Id="rId14" Type="http://schemas.openxmlformats.org/officeDocument/2006/relationships/hyperlink" Target="http://www.ewon.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35</Pages>
  <Words>9412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collection harmonisation regulation options paper submission</dc:title>
  <dc:subject>Debt collection</dc:subject>
  <dc:creator>Australian Collectors and Debt Buyers Association</dc:creator>
  <cp:keywords/>
  <dc:description/>
  <cp:lastModifiedBy>dcraddoc</cp:lastModifiedBy>
  <cp:revision>4</cp:revision>
  <cp:lastPrinted>2011-12-05T03:18:00Z</cp:lastPrinted>
  <dcterms:created xsi:type="dcterms:W3CDTF">2011-12-05T03:18:00Z</dcterms:created>
  <dcterms:modified xsi:type="dcterms:W3CDTF">2012-01-17T00:48:00Z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