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44A" w:rsidRDefault="00E424DA" w:rsidP="007864F0">
      <w:pPr>
        <w:pStyle w:val="Heading1"/>
      </w:pPr>
      <w:r w:rsidRPr="00E424DA">
        <w:t>Detailed Reference Guide 8</w:t>
      </w:r>
      <w:r w:rsidR="00E5338F">
        <w:t xml:space="preserve">: </w:t>
      </w:r>
      <w:r w:rsidRPr="00E424DA">
        <w:t>Rental provider non-compliance register</w:t>
      </w:r>
    </w:p>
    <w:p w:rsidR="002F6E26" w:rsidRPr="002F6E26" w:rsidRDefault="002F6E26" w:rsidP="002F6E26">
      <w:pPr>
        <w:pStyle w:val="BodyText"/>
      </w:pPr>
      <w:r w:rsidRPr="002F6E26">
        <w:t xml:space="preserve">This reform starts on </w:t>
      </w:r>
      <w:r w:rsidR="00A9021B">
        <w:t>29 March 2021</w:t>
      </w:r>
      <w:bookmarkStart w:id="0" w:name="_GoBack"/>
      <w:bookmarkEnd w:id="0"/>
      <w:r w:rsidRPr="002F6E26">
        <w:t>.</w:t>
      </w:r>
    </w:p>
    <w:p w:rsidR="002F6E26" w:rsidRDefault="002F6E26" w:rsidP="002F6E26">
      <w:pPr>
        <w:pStyle w:val="BodyText"/>
        <w:rPr>
          <w:b/>
          <w:bCs/>
          <w:sz w:val="26"/>
          <w:szCs w:val="26"/>
        </w:rPr>
      </w:pPr>
      <w:r w:rsidRPr="002F6E26">
        <w:rPr>
          <w:b/>
          <w:bCs/>
          <w:sz w:val="26"/>
          <w:szCs w:val="26"/>
        </w:rPr>
        <w:t>New requirements</w:t>
      </w:r>
    </w:p>
    <w:p w:rsidR="002F6E26" w:rsidRDefault="002F6E26" w:rsidP="002F6E26">
      <w:pPr>
        <w:pStyle w:val="BodyText"/>
      </w:pPr>
      <w:r>
        <w:t xml:space="preserve">A new Rental Provider Non-compliance Register (the Register) for rental providers and agents will be established and maintained by the Director of Consumer Affairs Victoria (Director). Rooming house operators, caravan park owners, caravan owners and site owners, and their agents, can also be listed on the Register. </w:t>
      </w:r>
    </w:p>
    <w:p w:rsidR="002F6E26" w:rsidRDefault="002F6E26" w:rsidP="002F6E26">
      <w:pPr>
        <w:pStyle w:val="BodyText"/>
      </w:pPr>
      <w:r>
        <w:t>The Register may be kept in any form the Director considers appropriate.</w:t>
      </w:r>
    </w:p>
    <w:p w:rsidR="002F6E26" w:rsidRDefault="002F6E26" w:rsidP="002F6E26">
      <w:pPr>
        <w:pStyle w:val="BodyText"/>
      </w:pPr>
      <w:r>
        <w:t>The Director may publish the Register or any information it contains in any form or manner they consider appropriate.</w:t>
      </w:r>
    </w:p>
    <w:p w:rsidR="002F6E26" w:rsidRDefault="002F6E26" w:rsidP="002F6E26">
      <w:pPr>
        <w:pStyle w:val="BodyText"/>
      </w:pPr>
      <w:r>
        <w:t xml:space="preserve">A listing for the rental provider or their agent must be made in the Register if VCAT has made a compliance or compensation order against them in respect of a breach of duty under the Act, or if the rental provider or agent has been convicted of an offence under the </w:t>
      </w:r>
      <w:r w:rsidRPr="002F6E26">
        <w:rPr>
          <w:i/>
        </w:rPr>
        <w:t>Residential Tenancies Act 1997</w:t>
      </w:r>
      <w:r>
        <w:t>.</w:t>
      </w:r>
    </w:p>
    <w:p w:rsidR="002F6E26" w:rsidRDefault="002F6E26" w:rsidP="002F6E26">
      <w:pPr>
        <w:pStyle w:val="BodyText"/>
      </w:pPr>
      <w:r>
        <w:t>VCAT can order the Director not to make a listing in the Register for the rental provider or agent if it is satisfied that it would be unfair to make a listing in that case.</w:t>
      </w:r>
    </w:p>
    <w:p w:rsidR="002F6E26" w:rsidRDefault="002F6E26" w:rsidP="002F6E26">
      <w:pPr>
        <w:pStyle w:val="BodyText"/>
      </w:pPr>
      <w:r>
        <w:t>A listing on the Register must not be kept for more than 3 years.</w:t>
      </w:r>
    </w:p>
    <w:p w:rsidR="002F6E26" w:rsidRDefault="002F6E26" w:rsidP="002F6E26">
      <w:pPr>
        <w:pStyle w:val="Heading3"/>
      </w:pPr>
      <w:r>
        <w:t>Information included in a listing</w:t>
      </w:r>
    </w:p>
    <w:p w:rsidR="002F6E26" w:rsidRDefault="002F6E26" w:rsidP="002F6E26">
      <w:pPr>
        <w:pStyle w:val="BodyText"/>
      </w:pPr>
      <w:r>
        <w:t>A listing must include the:</w:t>
      </w:r>
    </w:p>
    <w:p w:rsidR="002F6E26" w:rsidRDefault="002F6E26" w:rsidP="002F6E26">
      <w:pPr>
        <w:pStyle w:val="ListBullet"/>
      </w:pPr>
      <w:r>
        <w:t>rental provider’s name</w:t>
      </w:r>
    </w:p>
    <w:p w:rsidR="002F6E26" w:rsidRDefault="002F6E26" w:rsidP="002F6E26">
      <w:pPr>
        <w:pStyle w:val="ListBullet"/>
      </w:pPr>
      <w:r>
        <w:t>business name and address of the rental provider’s agent (if they have an agent)</w:t>
      </w:r>
    </w:p>
    <w:p w:rsidR="002F6E26" w:rsidRDefault="002F6E26" w:rsidP="002F6E26">
      <w:pPr>
        <w:pStyle w:val="ListBullet"/>
      </w:pPr>
      <w:r>
        <w:t>address of the rented premises</w:t>
      </w:r>
    </w:p>
    <w:p w:rsidR="002F6E26" w:rsidRDefault="002F6E26" w:rsidP="002F6E26">
      <w:pPr>
        <w:pStyle w:val="ListBullet"/>
      </w:pPr>
      <w:r>
        <w:t>date of the order made by VCAT and the section of the Act that the rental provider breached, or the date of conviction of an offence under the Act and the section of the Act the rental provider was convicted under, and</w:t>
      </w:r>
    </w:p>
    <w:p w:rsidR="002F6E26" w:rsidRDefault="002F6E26" w:rsidP="002F6E26">
      <w:pPr>
        <w:pStyle w:val="ListBullet"/>
      </w:pPr>
      <w:r>
        <w:t>any other information the Director decides is relevant to the VCAT order, conviction or finding of guilt.</w:t>
      </w:r>
    </w:p>
    <w:p w:rsidR="002F6E26" w:rsidRDefault="002F6E26" w:rsidP="002F6E26">
      <w:pPr>
        <w:pStyle w:val="Heading3"/>
      </w:pPr>
      <w:r>
        <w:t>Rules for listing of personal information in the Register</w:t>
      </w:r>
    </w:p>
    <w:p w:rsidR="002F6E26" w:rsidRDefault="002F6E26" w:rsidP="002F6E26">
      <w:pPr>
        <w:pStyle w:val="BodyText"/>
      </w:pPr>
      <w:r>
        <w:t>Before the Director lists personal information about a person in the Register they must give, or take reasonable steps to give, that person a copy of the information.</w:t>
      </w:r>
    </w:p>
    <w:p w:rsidR="002F6E26" w:rsidRDefault="002F6E26" w:rsidP="002F6E26">
      <w:pPr>
        <w:pStyle w:val="BodyText"/>
      </w:pPr>
      <w:r>
        <w:t>The Director must give the person at least 14 days to object to the listing of their personal information on the Register or contest the information’s accuracy, completeness and clarity.</w:t>
      </w:r>
    </w:p>
    <w:p w:rsidR="002F6E26" w:rsidRDefault="002F6E26" w:rsidP="002F6E26">
      <w:pPr>
        <w:pStyle w:val="BodyText"/>
      </w:pPr>
      <w:r>
        <w:t>The Director must consider any objections made by the person before they list their personal information.</w:t>
      </w:r>
    </w:p>
    <w:p w:rsidR="002F6E26" w:rsidRDefault="002F6E26" w:rsidP="002F6E26">
      <w:pPr>
        <w:pStyle w:val="BodyText"/>
      </w:pPr>
      <w:r>
        <w:t>If the person cannot be found after making reasonable enquiries, the Director may list their personal information without giving them 14 days to object to the listing.</w:t>
      </w:r>
    </w:p>
    <w:p w:rsidR="002F6E26" w:rsidRDefault="002F6E26" w:rsidP="002F6E26">
      <w:pPr>
        <w:pStyle w:val="BodyText"/>
      </w:pPr>
      <w:r>
        <w:t>If the person’s personal information is contained in publicly available court or VCAT records, then the Director may list that personal information without giving the person 14 days to object to the listing.</w:t>
      </w:r>
    </w:p>
    <w:p w:rsidR="002F6E26" w:rsidRDefault="002F6E26" w:rsidP="002F6E26">
      <w:pPr>
        <w:pStyle w:val="Heading3"/>
      </w:pPr>
      <w:r>
        <w:t>Applications to VCAT for removal or amendment of a listing</w:t>
      </w:r>
    </w:p>
    <w:p w:rsidR="002F6E26" w:rsidRDefault="002F6E26" w:rsidP="002F6E26">
      <w:pPr>
        <w:pStyle w:val="BodyText"/>
      </w:pPr>
      <w:r>
        <w:t>A person may apply to VCAT for an order prohibiting the Director from listing information or requiring the Director to amend or remove information about the person from the Register.</w:t>
      </w:r>
    </w:p>
    <w:p w:rsidR="002F6E26" w:rsidRDefault="002F6E26" w:rsidP="002F6E26">
      <w:pPr>
        <w:pStyle w:val="BodyText"/>
      </w:pPr>
      <w:r>
        <w:t>VCAT may make an order if satisfied that:</w:t>
      </w:r>
    </w:p>
    <w:p w:rsidR="002F6E26" w:rsidRDefault="002F6E26" w:rsidP="002F6E26">
      <w:pPr>
        <w:pStyle w:val="ListBullet"/>
      </w:pPr>
      <w:r>
        <w:t>the Director did not give the person at least 14 days to object to the listing of their personal information in the Register</w:t>
      </w:r>
    </w:p>
    <w:p w:rsidR="002F6E26" w:rsidRDefault="002F6E26" w:rsidP="002F6E26">
      <w:pPr>
        <w:pStyle w:val="ListBullet"/>
      </w:pPr>
      <w:r>
        <w:lastRenderedPageBreak/>
        <w:t>the information has been on the Register for longer than 3 years, or</w:t>
      </w:r>
    </w:p>
    <w:p w:rsidR="002F6E26" w:rsidRDefault="002F6E26" w:rsidP="002F6E26">
      <w:pPr>
        <w:pStyle w:val="ListBullet"/>
      </w:pPr>
      <w:r>
        <w:t>the information listed on the Register is incorrect.</w:t>
      </w:r>
    </w:p>
    <w:p w:rsidR="002F6E26" w:rsidRDefault="002F6E26" w:rsidP="002F6E26">
      <w:pPr>
        <w:pStyle w:val="BodyText"/>
      </w:pPr>
      <w:r>
        <w:t>VCAT may also order the Director to publish a statement declaring that the information on the Register was incorrect and has been corrected.</w:t>
      </w:r>
    </w:p>
    <w:p w:rsidR="002F6E26" w:rsidRDefault="002F6E26" w:rsidP="002F6E26">
      <w:pPr>
        <w:pStyle w:val="Heading2"/>
      </w:pPr>
      <w:r>
        <w:t>Previous requirements</w:t>
      </w:r>
    </w:p>
    <w:p w:rsidR="002F6E26" w:rsidRDefault="002F6E26" w:rsidP="002F6E26">
      <w:pPr>
        <w:pStyle w:val="BodyText"/>
      </w:pPr>
      <w:r>
        <w:t>A rental non-compliance register did not exist under the previous version of the Act.</w:t>
      </w:r>
    </w:p>
    <w:p w:rsidR="002F6E26" w:rsidRDefault="002F6E26" w:rsidP="002F6E26">
      <w:pPr>
        <w:pStyle w:val="Heading2"/>
      </w:pPr>
      <w:r>
        <w:t>Requiring further specification</w:t>
      </w:r>
    </w:p>
    <w:p w:rsidR="002F6E26" w:rsidRDefault="002F6E26" w:rsidP="002F6E26">
      <w:pPr>
        <w:pStyle w:val="BodyText"/>
      </w:pPr>
      <w:r>
        <w:t>The form of the Register is to be declared by the Director.</w:t>
      </w:r>
    </w:p>
    <w:p w:rsidR="002F6E26" w:rsidRPr="002F6E26" w:rsidRDefault="002F6E26" w:rsidP="002F6E26">
      <w:pPr>
        <w:pStyle w:val="Heading2"/>
      </w:pPr>
      <w:r>
        <w:t>Relevant legislation in the Residential Tenancies Act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48"/>
        <w:gridCol w:w="7291"/>
      </w:tblGrid>
      <w:tr w:rsidR="004E444A" w:rsidRPr="005A2426" w:rsidTr="002F6E26">
        <w:tc>
          <w:tcPr>
            <w:tcW w:w="2348" w:type="dxa"/>
            <w:shd w:val="clear" w:color="auto" w:fill="auto"/>
            <w:vAlign w:val="center"/>
            <w:hideMark/>
          </w:tcPr>
          <w:p w:rsidR="00BD6B17" w:rsidRPr="005A2426" w:rsidRDefault="002F6E26" w:rsidP="002F6E26">
            <w:pPr>
              <w:pStyle w:val="TableText"/>
            </w:pPr>
            <w:r>
              <w:t>212(6)</w:t>
            </w:r>
          </w:p>
        </w:tc>
        <w:tc>
          <w:tcPr>
            <w:tcW w:w="7291" w:type="dxa"/>
            <w:shd w:val="clear" w:color="auto" w:fill="auto"/>
            <w:vAlign w:val="center"/>
          </w:tcPr>
          <w:p w:rsidR="004E444A" w:rsidRDefault="002F6E26" w:rsidP="004D4603">
            <w:pPr>
              <w:pStyle w:val="TableText"/>
            </w:pPr>
            <w:r>
              <w:t>Orders of Tribunal</w:t>
            </w:r>
          </w:p>
        </w:tc>
      </w:tr>
      <w:tr w:rsidR="002F6E26" w:rsidRPr="005A2426" w:rsidTr="002F6E26">
        <w:tc>
          <w:tcPr>
            <w:tcW w:w="2348" w:type="dxa"/>
            <w:shd w:val="clear" w:color="auto" w:fill="auto"/>
            <w:vAlign w:val="center"/>
          </w:tcPr>
          <w:p w:rsidR="002F6E26" w:rsidRDefault="002F6E26" w:rsidP="002F6E26">
            <w:pPr>
              <w:pStyle w:val="TableText"/>
            </w:pPr>
            <w:r>
              <w:t>Part 10B</w:t>
            </w:r>
          </w:p>
        </w:tc>
        <w:tc>
          <w:tcPr>
            <w:tcW w:w="7291" w:type="dxa"/>
            <w:shd w:val="clear" w:color="auto" w:fill="auto"/>
            <w:vAlign w:val="center"/>
          </w:tcPr>
          <w:p w:rsidR="002F6E26" w:rsidRDefault="002F6E26" w:rsidP="004D4603">
            <w:pPr>
              <w:pStyle w:val="TableText"/>
            </w:pPr>
            <w:r>
              <w:t xml:space="preserve">Rental </w:t>
            </w:r>
            <w:proofErr w:type="spellStart"/>
            <w:r>
              <w:t>Non compliance</w:t>
            </w:r>
            <w:proofErr w:type="spellEnd"/>
            <w:r>
              <w:t xml:space="preserve"> Register (section 439O to 439U)</w:t>
            </w:r>
          </w:p>
        </w:tc>
      </w:tr>
    </w:tbl>
    <w:p w:rsidR="00CA31C2" w:rsidRPr="00510F74" w:rsidRDefault="002F6E26" w:rsidP="002F6E26">
      <w:pPr>
        <w:pStyle w:val="BodyText"/>
      </w:pPr>
      <w:r w:rsidRPr="002F6E26">
        <w:t>Note: This was Reform 7 in the Fairer Safer Housing review.</w:t>
      </w:r>
    </w:p>
    <w:sectPr w:rsidR="00CA31C2" w:rsidRPr="00510F74" w:rsidSect="00230BBE">
      <w:footerReference w:type="default" r:id="rId8"/>
      <w:footerReference w:type="first" r:id="rId9"/>
      <w:type w:val="continuous"/>
      <w:pgSz w:w="11906" w:h="16838"/>
      <w:pgMar w:top="1134" w:right="1134" w:bottom="1134" w:left="1134"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14" w:rsidRDefault="00D41514">
      <w:r>
        <w:separator/>
      </w:r>
    </w:p>
    <w:p w:rsidR="00D41514" w:rsidRDefault="00D41514"/>
  </w:endnote>
  <w:endnote w:type="continuationSeparator" w:id="0">
    <w:p w:rsidR="00D41514" w:rsidRDefault="00D41514">
      <w:r>
        <w:continuationSeparator/>
      </w:r>
    </w:p>
    <w:p w:rsidR="00D41514" w:rsidRDefault="00D41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7864F0">
      <w:rPr>
        <w:b/>
        <w:noProof/>
      </w:rPr>
      <w:t>2</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4A46ED">
      <w:rPr>
        <w:b/>
        <w:noProof/>
      </w:rPr>
      <w:t>1</w:t>
    </w:r>
    <w:r w:rsidRPr="00482C9D">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74" w:rsidRPr="004A46ED" w:rsidRDefault="00D41514" w:rsidP="004A46ED">
    <w:pPr>
      <w:pStyle w:val="Footer"/>
    </w:pPr>
    <w:hyperlink r:id="rId1" w:history="1">
      <w:r w:rsidR="004A46ED" w:rsidRPr="00625B7E">
        <w:t>consumer.vic.gov.au/</w:t>
      </w:r>
      <w:proofErr w:type="spellStart"/>
    </w:hyperlink>
    <w:r w:rsidR="002F6E26">
      <w:t>rentinglawchanges</w:t>
    </w:r>
    <w:proofErr w:type="spellEnd"/>
    <w:r w:rsidR="004A46ED">
      <w:tab/>
    </w:r>
    <w:r w:rsidR="004A46ED" w:rsidRPr="00176A29">
      <w:t xml:space="preserve">Page </w:t>
    </w:r>
    <w:r w:rsidR="004A46ED">
      <w:rPr>
        <w:b/>
        <w:bCs/>
      </w:rPr>
      <w:fldChar w:fldCharType="begin"/>
    </w:r>
    <w:r w:rsidR="004A46ED">
      <w:rPr>
        <w:b/>
        <w:bCs/>
      </w:rPr>
      <w:instrText xml:space="preserve"> PAGE </w:instrText>
    </w:r>
    <w:r w:rsidR="004A46ED">
      <w:rPr>
        <w:b/>
        <w:bCs/>
      </w:rPr>
      <w:fldChar w:fldCharType="separate"/>
    </w:r>
    <w:r w:rsidR="004A46ED">
      <w:rPr>
        <w:b/>
        <w:bCs/>
        <w:noProof/>
      </w:rPr>
      <w:t>1</w:t>
    </w:r>
    <w:r w:rsidR="004A46ED">
      <w:rPr>
        <w:b/>
        <w:bCs/>
      </w:rPr>
      <w:fldChar w:fldCharType="end"/>
    </w:r>
    <w:r w:rsidR="004A46ED">
      <w:t xml:space="preserve"> of </w:t>
    </w:r>
    <w:r w:rsidR="004A46ED">
      <w:rPr>
        <w:b/>
        <w:bCs/>
      </w:rPr>
      <w:fldChar w:fldCharType="begin"/>
    </w:r>
    <w:r w:rsidR="004A46ED">
      <w:rPr>
        <w:b/>
        <w:bCs/>
      </w:rPr>
      <w:instrText xml:space="preserve"> NUMPAGES  </w:instrText>
    </w:r>
    <w:r w:rsidR="004A46ED">
      <w:rPr>
        <w:b/>
        <w:bCs/>
      </w:rPr>
      <w:fldChar w:fldCharType="separate"/>
    </w:r>
    <w:r w:rsidR="004A46ED">
      <w:rPr>
        <w:b/>
        <w:bCs/>
        <w:noProof/>
      </w:rPr>
      <w:t>1</w:t>
    </w:r>
    <w:r w:rsidR="004A46ED">
      <w:rPr>
        <w:b/>
        <w:bCs/>
      </w:rPr>
      <w:fldChar w:fldCharType="end"/>
    </w:r>
    <w:r w:rsidR="004A46ED">
      <w:rPr>
        <w:b/>
        <w:bCs/>
      </w:rPr>
      <w:tab/>
    </w:r>
    <w:r w:rsidR="004A46ED" w:rsidRPr="00B6136A">
      <w:rPr>
        <w:rFonts w:cs="Helv"/>
        <w:b/>
        <w:noProof/>
        <w:color w:val="FF0000"/>
      </w:rPr>
      <w:drawing>
        <wp:inline distT="0" distB="0" distL="0" distR="0" wp14:anchorId="258B6E8A" wp14:editId="711C7D4B">
          <wp:extent cx="1666875" cy="466725"/>
          <wp:effectExtent l="0" t="0" r="9525" b="952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14" w:rsidRDefault="00D41514">
      <w:r>
        <w:separator/>
      </w:r>
    </w:p>
    <w:p w:rsidR="00D41514" w:rsidRDefault="00D41514"/>
  </w:footnote>
  <w:footnote w:type="continuationSeparator" w:id="0">
    <w:p w:rsidR="00D41514" w:rsidRDefault="00D41514">
      <w:r>
        <w:continuationSeparator/>
      </w:r>
    </w:p>
    <w:p w:rsidR="00D41514" w:rsidRDefault="00D41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40CE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F8744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5ED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CF898CC"/>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B2784E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6852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4E6AA5C"/>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4A088EAE"/>
    <w:lvl w:ilvl="0">
      <w:start w:val="1"/>
      <w:numFmt w:val="decimal"/>
      <w:pStyle w:val="ListNumber"/>
      <w:lvlText w:val="%1."/>
      <w:lvlJc w:val="left"/>
      <w:pPr>
        <w:ind w:left="340" w:hanging="340"/>
      </w:pPr>
      <w:rPr>
        <w:rFonts w:hint="default"/>
        <w:i w:val="0"/>
      </w:rPr>
    </w:lvl>
  </w:abstractNum>
  <w:abstractNum w:abstractNumId="10" w15:restartNumberingAfterBreak="0">
    <w:nsid w:val="FFFFFF89"/>
    <w:multiLevelType w:val="singleLevel"/>
    <w:tmpl w:val="4692E09C"/>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2F22E44"/>
    <w:multiLevelType w:val="hybridMultilevel"/>
    <w:tmpl w:val="34FE60CC"/>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6337E"/>
    <w:multiLevelType w:val="multilevel"/>
    <w:tmpl w:val="3558EC0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EA0E8C"/>
    <w:multiLevelType w:val="hybridMultilevel"/>
    <w:tmpl w:val="0D1E77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71D427E"/>
    <w:multiLevelType w:val="hybridMultilevel"/>
    <w:tmpl w:val="B7C6D2E0"/>
    <w:lvl w:ilvl="0" w:tplc="AA923C1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55056"/>
    <w:multiLevelType w:val="hybridMultilevel"/>
    <w:tmpl w:val="70F26E1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42856"/>
    <w:multiLevelType w:val="hybridMultilevel"/>
    <w:tmpl w:val="3A0E8800"/>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661B"/>
    <w:multiLevelType w:val="hybridMultilevel"/>
    <w:tmpl w:val="C5C47BFA"/>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2256E"/>
    <w:multiLevelType w:val="hybridMultilevel"/>
    <w:tmpl w:val="3558EC0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53472"/>
    <w:multiLevelType w:val="multilevel"/>
    <w:tmpl w:val="F4C489E6"/>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163738"/>
    <w:multiLevelType w:val="hybridMultilevel"/>
    <w:tmpl w:val="25384AA2"/>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D0A0E"/>
    <w:multiLevelType w:val="hybridMultilevel"/>
    <w:tmpl w:val="F4C489E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06FB6"/>
    <w:multiLevelType w:val="multilevel"/>
    <w:tmpl w:val="3E548662"/>
    <w:lvl w:ilvl="0">
      <w:start w:val="1"/>
      <w:numFmt w:val="decimal"/>
      <w:lvlText w:val="%1."/>
      <w:lvlJc w:val="left"/>
      <w:pPr>
        <w:ind w:left="357" w:hanging="3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0C09E0"/>
    <w:multiLevelType w:val="hybridMultilevel"/>
    <w:tmpl w:val="FE8A86DC"/>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C6725E"/>
    <w:multiLevelType w:val="hybridMultilevel"/>
    <w:tmpl w:val="CD527856"/>
    <w:lvl w:ilvl="0" w:tplc="DE867EA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22CAA"/>
    <w:multiLevelType w:val="hybridMultilevel"/>
    <w:tmpl w:val="3E548662"/>
    <w:lvl w:ilvl="0" w:tplc="2F16A994">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D1A7E"/>
    <w:multiLevelType w:val="hybridMultilevel"/>
    <w:tmpl w:val="E446DC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10"/>
  </w:num>
  <w:num w:numId="4">
    <w:abstractNumId w:val="8"/>
  </w:num>
  <w:num w:numId="5">
    <w:abstractNumId w:val="9"/>
  </w:num>
  <w:num w:numId="6">
    <w:abstractNumId w:val="4"/>
  </w:num>
  <w:num w:numId="7">
    <w:abstractNumId w:val="3"/>
  </w:num>
  <w:num w:numId="8">
    <w:abstractNumId w:val="14"/>
  </w:num>
  <w:num w:numId="9">
    <w:abstractNumId w:val="9"/>
    <w:lvlOverride w:ilvl="0">
      <w:startOverride w:val="1"/>
    </w:lvlOverride>
  </w:num>
  <w:num w:numId="10">
    <w:abstractNumId w:val="9"/>
    <w:lvlOverride w:ilvl="0">
      <w:startOverride w:val="1"/>
    </w:lvlOverride>
  </w:num>
  <w:num w:numId="11">
    <w:abstractNumId w:val="0"/>
  </w:num>
  <w:num w:numId="12">
    <w:abstractNumId w:val="27"/>
  </w:num>
  <w:num w:numId="13">
    <w:abstractNumId w:val="24"/>
  </w:num>
  <w:num w:numId="14">
    <w:abstractNumId w:val="21"/>
  </w:num>
  <w:num w:numId="15">
    <w:abstractNumId w:val="20"/>
  </w:num>
  <w:num w:numId="16">
    <w:abstractNumId w:val="23"/>
  </w:num>
  <w:num w:numId="17">
    <w:abstractNumId w:val="15"/>
  </w:num>
  <w:num w:numId="18">
    <w:abstractNumId w:val="17"/>
  </w:num>
  <w:num w:numId="19">
    <w:abstractNumId w:val="16"/>
  </w:num>
  <w:num w:numId="20">
    <w:abstractNumId w:val="19"/>
  </w:num>
  <w:num w:numId="21">
    <w:abstractNumId w:val="18"/>
  </w:num>
  <w:num w:numId="22">
    <w:abstractNumId w:val="12"/>
  </w:num>
  <w:num w:numId="23">
    <w:abstractNumId w:val="13"/>
  </w:num>
  <w:num w:numId="24">
    <w:abstractNumId w:val="11"/>
  </w:num>
  <w:num w:numId="25">
    <w:abstractNumId w:val="25"/>
  </w:num>
  <w:num w:numId="26">
    <w:abstractNumId w:val="22"/>
  </w:num>
  <w:num w:numId="27">
    <w:abstractNumId w:val="7"/>
  </w:num>
  <w:num w:numId="28">
    <w:abstractNumId w:val="6"/>
  </w:num>
  <w:num w:numId="29">
    <w:abstractNumId w:val="5"/>
  </w:num>
  <w:num w:numId="30">
    <w:abstractNumId w:val="2"/>
  </w:num>
  <w:num w:numId="31">
    <w:abstractNumId w:val="1"/>
  </w:num>
  <w:num w:numId="32">
    <w:abstractNumId w:val="9"/>
    <w:lvlOverride w:ilvl="0">
      <w:startOverride w:val="1"/>
    </w:lvlOverride>
  </w:num>
  <w:num w:numId="33">
    <w:abstractNumId w:val="9"/>
    <w:lvlOverride w:ilvl="0">
      <w:startOverride w:val="1"/>
    </w:lvlOverride>
  </w:num>
  <w:num w:numId="34">
    <w:abstractNumId w:val="28"/>
  </w:num>
  <w:num w:numId="35">
    <w:abstractNumId w:val="10"/>
  </w:num>
  <w:num w:numId="36">
    <w:abstractNumId w:val="8"/>
  </w:num>
  <w:num w:numId="37">
    <w:abstractNumId w:val="9"/>
  </w:num>
  <w:num w:numId="38">
    <w:abstractNumId w:val="4"/>
  </w:num>
  <w:num w:numId="39">
    <w:abstractNumId w:val="3"/>
  </w:num>
  <w:num w:numId="40">
    <w:abstractNumId w:val="26"/>
  </w:num>
  <w:num w:numId="41">
    <w:abstractNumId w:val="8"/>
  </w:num>
  <w:num w:numId="42">
    <w:abstractNumId w:val="8"/>
  </w:num>
  <w:num w:numId="43">
    <w:abstractNumId w:val="7"/>
  </w:num>
  <w:num w:numId="44">
    <w:abstractNumId w:val="4"/>
  </w:num>
  <w:num w:numId="4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362"/>
    <w:rsid w:val="000037CA"/>
    <w:rsid w:val="00015C82"/>
    <w:rsid w:val="000168A1"/>
    <w:rsid w:val="000220CA"/>
    <w:rsid w:val="000355C2"/>
    <w:rsid w:val="00037895"/>
    <w:rsid w:val="000422C4"/>
    <w:rsid w:val="00043557"/>
    <w:rsid w:val="00046307"/>
    <w:rsid w:val="0005581F"/>
    <w:rsid w:val="00056795"/>
    <w:rsid w:val="00056A2B"/>
    <w:rsid w:val="00056F69"/>
    <w:rsid w:val="0006239C"/>
    <w:rsid w:val="0006318E"/>
    <w:rsid w:val="00066F81"/>
    <w:rsid w:val="00067AA8"/>
    <w:rsid w:val="0007437B"/>
    <w:rsid w:val="00080E8C"/>
    <w:rsid w:val="00085AFF"/>
    <w:rsid w:val="000A05C2"/>
    <w:rsid w:val="000A1E6A"/>
    <w:rsid w:val="000A280C"/>
    <w:rsid w:val="000A4445"/>
    <w:rsid w:val="000A5E17"/>
    <w:rsid w:val="000A6C1A"/>
    <w:rsid w:val="000B5EDC"/>
    <w:rsid w:val="000B65D4"/>
    <w:rsid w:val="000B7347"/>
    <w:rsid w:val="000C2798"/>
    <w:rsid w:val="000C3171"/>
    <w:rsid w:val="000C620E"/>
    <w:rsid w:val="000C7A60"/>
    <w:rsid w:val="000D4BBF"/>
    <w:rsid w:val="000D780B"/>
    <w:rsid w:val="000D7EA7"/>
    <w:rsid w:val="000E0C11"/>
    <w:rsid w:val="000E3132"/>
    <w:rsid w:val="000E3EE0"/>
    <w:rsid w:val="000E5829"/>
    <w:rsid w:val="000E69CF"/>
    <w:rsid w:val="001011A2"/>
    <w:rsid w:val="00103A0B"/>
    <w:rsid w:val="00106914"/>
    <w:rsid w:val="0011355C"/>
    <w:rsid w:val="0012093B"/>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D2FE7"/>
    <w:rsid w:val="001D5AC2"/>
    <w:rsid w:val="001E2177"/>
    <w:rsid w:val="001E59E9"/>
    <w:rsid w:val="001E6366"/>
    <w:rsid w:val="001F260E"/>
    <w:rsid w:val="001F7271"/>
    <w:rsid w:val="0020362C"/>
    <w:rsid w:val="002130E8"/>
    <w:rsid w:val="00213B65"/>
    <w:rsid w:val="0022011C"/>
    <w:rsid w:val="00220917"/>
    <w:rsid w:val="00220BFA"/>
    <w:rsid w:val="00222C13"/>
    <w:rsid w:val="00230BBE"/>
    <w:rsid w:val="002325A7"/>
    <w:rsid w:val="00233F44"/>
    <w:rsid w:val="0024319C"/>
    <w:rsid w:val="0024452E"/>
    <w:rsid w:val="00250A4D"/>
    <w:rsid w:val="00254903"/>
    <w:rsid w:val="00254AB9"/>
    <w:rsid w:val="0026293D"/>
    <w:rsid w:val="0026293E"/>
    <w:rsid w:val="0026346A"/>
    <w:rsid w:val="002645FC"/>
    <w:rsid w:val="002660A7"/>
    <w:rsid w:val="002742FC"/>
    <w:rsid w:val="002749A3"/>
    <w:rsid w:val="00275B66"/>
    <w:rsid w:val="00275ECB"/>
    <w:rsid w:val="00276618"/>
    <w:rsid w:val="00277089"/>
    <w:rsid w:val="002778E8"/>
    <w:rsid w:val="00277DCB"/>
    <w:rsid w:val="00285E9F"/>
    <w:rsid w:val="002867A9"/>
    <w:rsid w:val="0028766F"/>
    <w:rsid w:val="0029246A"/>
    <w:rsid w:val="00292A69"/>
    <w:rsid w:val="00294C52"/>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2F6E26"/>
    <w:rsid w:val="00300E5B"/>
    <w:rsid w:val="003035FD"/>
    <w:rsid w:val="00307DEC"/>
    <w:rsid w:val="003102FE"/>
    <w:rsid w:val="00311BA5"/>
    <w:rsid w:val="0032298B"/>
    <w:rsid w:val="00323759"/>
    <w:rsid w:val="00330CC8"/>
    <w:rsid w:val="00335793"/>
    <w:rsid w:val="00336A96"/>
    <w:rsid w:val="0034343A"/>
    <w:rsid w:val="003435C6"/>
    <w:rsid w:val="00346A3D"/>
    <w:rsid w:val="00353DC2"/>
    <w:rsid w:val="003551C8"/>
    <w:rsid w:val="00355566"/>
    <w:rsid w:val="00356C19"/>
    <w:rsid w:val="00357B57"/>
    <w:rsid w:val="00375E18"/>
    <w:rsid w:val="0037704E"/>
    <w:rsid w:val="00396AC2"/>
    <w:rsid w:val="00397C7D"/>
    <w:rsid w:val="003A0694"/>
    <w:rsid w:val="003A2AC9"/>
    <w:rsid w:val="003A5AC7"/>
    <w:rsid w:val="003A6DFB"/>
    <w:rsid w:val="003B2B25"/>
    <w:rsid w:val="003B6EEB"/>
    <w:rsid w:val="003C03A6"/>
    <w:rsid w:val="003C2C28"/>
    <w:rsid w:val="003C3F1B"/>
    <w:rsid w:val="003D1C95"/>
    <w:rsid w:val="003D25A6"/>
    <w:rsid w:val="003D4A4F"/>
    <w:rsid w:val="003E544D"/>
    <w:rsid w:val="003E60DE"/>
    <w:rsid w:val="003E7037"/>
    <w:rsid w:val="003F3404"/>
    <w:rsid w:val="003F3BF0"/>
    <w:rsid w:val="003F5034"/>
    <w:rsid w:val="00404089"/>
    <w:rsid w:val="00406892"/>
    <w:rsid w:val="004101B5"/>
    <w:rsid w:val="0041515A"/>
    <w:rsid w:val="00415DF2"/>
    <w:rsid w:val="00417260"/>
    <w:rsid w:val="00432BFC"/>
    <w:rsid w:val="00436138"/>
    <w:rsid w:val="00443192"/>
    <w:rsid w:val="00443AE0"/>
    <w:rsid w:val="00444B97"/>
    <w:rsid w:val="00445223"/>
    <w:rsid w:val="00446BA5"/>
    <w:rsid w:val="00450CFF"/>
    <w:rsid w:val="00451315"/>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46ED"/>
    <w:rsid w:val="004A6437"/>
    <w:rsid w:val="004B244A"/>
    <w:rsid w:val="004B3730"/>
    <w:rsid w:val="004B3D9D"/>
    <w:rsid w:val="004B3E96"/>
    <w:rsid w:val="004C1FA9"/>
    <w:rsid w:val="004C2D1C"/>
    <w:rsid w:val="004C467F"/>
    <w:rsid w:val="004C530C"/>
    <w:rsid w:val="004C559E"/>
    <w:rsid w:val="004D4603"/>
    <w:rsid w:val="004E444A"/>
    <w:rsid w:val="004E486A"/>
    <w:rsid w:val="004E5C0F"/>
    <w:rsid w:val="004E5D70"/>
    <w:rsid w:val="004E7B70"/>
    <w:rsid w:val="004F1C98"/>
    <w:rsid w:val="004F2160"/>
    <w:rsid w:val="004F5654"/>
    <w:rsid w:val="00501F1A"/>
    <w:rsid w:val="00503C5C"/>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2A61"/>
    <w:rsid w:val="00562BA1"/>
    <w:rsid w:val="00564978"/>
    <w:rsid w:val="00564F67"/>
    <w:rsid w:val="00574FF7"/>
    <w:rsid w:val="005755C6"/>
    <w:rsid w:val="005768A4"/>
    <w:rsid w:val="00577013"/>
    <w:rsid w:val="00580C9E"/>
    <w:rsid w:val="00581D61"/>
    <w:rsid w:val="00583950"/>
    <w:rsid w:val="00587D1A"/>
    <w:rsid w:val="0059064C"/>
    <w:rsid w:val="00591D58"/>
    <w:rsid w:val="00595524"/>
    <w:rsid w:val="005A1056"/>
    <w:rsid w:val="005A2426"/>
    <w:rsid w:val="005A4BDE"/>
    <w:rsid w:val="005B02D1"/>
    <w:rsid w:val="005B6073"/>
    <w:rsid w:val="005B7F0A"/>
    <w:rsid w:val="005C26AA"/>
    <w:rsid w:val="005C4493"/>
    <w:rsid w:val="005C4D70"/>
    <w:rsid w:val="005C71EE"/>
    <w:rsid w:val="005C7735"/>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5B7E"/>
    <w:rsid w:val="006309FD"/>
    <w:rsid w:val="00630B3C"/>
    <w:rsid w:val="006352BF"/>
    <w:rsid w:val="00644B7A"/>
    <w:rsid w:val="0064693A"/>
    <w:rsid w:val="00650FA9"/>
    <w:rsid w:val="00653F9F"/>
    <w:rsid w:val="00654F23"/>
    <w:rsid w:val="006556E4"/>
    <w:rsid w:val="00661680"/>
    <w:rsid w:val="00661DBE"/>
    <w:rsid w:val="006620EC"/>
    <w:rsid w:val="00670AFF"/>
    <w:rsid w:val="00670DB8"/>
    <w:rsid w:val="00675403"/>
    <w:rsid w:val="00677A37"/>
    <w:rsid w:val="00683199"/>
    <w:rsid w:val="00683DA8"/>
    <w:rsid w:val="006844C6"/>
    <w:rsid w:val="006848DA"/>
    <w:rsid w:val="006918F7"/>
    <w:rsid w:val="00692736"/>
    <w:rsid w:val="006956E0"/>
    <w:rsid w:val="00695BAC"/>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739A"/>
    <w:rsid w:val="00764E72"/>
    <w:rsid w:val="00770F09"/>
    <w:rsid w:val="00772382"/>
    <w:rsid w:val="007743C4"/>
    <w:rsid w:val="00774477"/>
    <w:rsid w:val="00781129"/>
    <w:rsid w:val="007846F6"/>
    <w:rsid w:val="007864F0"/>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1530"/>
    <w:rsid w:val="0080392A"/>
    <w:rsid w:val="00804FF4"/>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7974"/>
    <w:rsid w:val="00881665"/>
    <w:rsid w:val="00886B0E"/>
    <w:rsid w:val="008913E0"/>
    <w:rsid w:val="008A4172"/>
    <w:rsid w:val="008A4880"/>
    <w:rsid w:val="008A5C9C"/>
    <w:rsid w:val="008B113A"/>
    <w:rsid w:val="008B17F9"/>
    <w:rsid w:val="008B26A1"/>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4741"/>
    <w:rsid w:val="00A30BDB"/>
    <w:rsid w:val="00A31FC9"/>
    <w:rsid w:val="00A32C77"/>
    <w:rsid w:val="00A376E9"/>
    <w:rsid w:val="00A4335A"/>
    <w:rsid w:val="00A525EA"/>
    <w:rsid w:val="00A62E3F"/>
    <w:rsid w:val="00A66A43"/>
    <w:rsid w:val="00A776E7"/>
    <w:rsid w:val="00A82530"/>
    <w:rsid w:val="00A82629"/>
    <w:rsid w:val="00A84243"/>
    <w:rsid w:val="00A8471E"/>
    <w:rsid w:val="00A86594"/>
    <w:rsid w:val="00A9021B"/>
    <w:rsid w:val="00AA0AF0"/>
    <w:rsid w:val="00AA16A6"/>
    <w:rsid w:val="00AA2964"/>
    <w:rsid w:val="00AA43C3"/>
    <w:rsid w:val="00AA5826"/>
    <w:rsid w:val="00AB75A4"/>
    <w:rsid w:val="00AB7CB3"/>
    <w:rsid w:val="00AB7E0D"/>
    <w:rsid w:val="00AC0B36"/>
    <w:rsid w:val="00AC12F3"/>
    <w:rsid w:val="00AE7802"/>
    <w:rsid w:val="00B05649"/>
    <w:rsid w:val="00B05DC6"/>
    <w:rsid w:val="00B07793"/>
    <w:rsid w:val="00B10317"/>
    <w:rsid w:val="00B13355"/>
    <w:rsid w:val="00B13AF4"/>
    <w:rsid w:val="00B17450"/>
    <w:rsid w:val="00B21294"/>
    <w:rsid w:val="00B35212"/>
    <w:rsid w:val="00B452FA"/>
    <w:rsid w:val="00B54B0C"/>
    <w:rsid w:val="00B57F9A"/>
    <w:rsid w:val="00B751DB"/>
    <w:rsid w:val="00B80008"/>
    <w:rsid w:val="00B8378D"/>
    <w:rsid w:val="00B9341F"/>
    <w:rsid w:val="00B95039"/>
    <w:rsid w:val="00B96A5D"/>
    <w:rsid w:val="00B96DBC"/>
    <w:rsid w:val="00BA18FC"/>
    <w:rsid w:val="00BA1DF7"/>
    <w:rsid w:val="00BA276B"/>
    <w:rsid w:val="00BA3586"/>
    <w:rsid w:val="00BA3F4F"/>
    <w:rsid w:val="00BA6707"/>
    <w:rsid w:val="00BB04F4"/>
    <w:rsid w:val="00BC49B4"/>
    <w:rsid w:val="00BC7567"/>
    <w:rsid w:val="00BD17C7"/>
    <w:rsid w:val="00BD4D0E"/>
    <w:rsid w:val="00BD5638"/>
    <w:rsid w:val="00BD6B17"/>
    <w:rsid w:val="00BE2F89"/>
    <w:rsid w:val="00C03AD7"/>
    <w:rsid w:val="00C10DA5"/>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514"/>
    <w:rsid w:val="00D41AC9"/>
    <w:rsid w:val="00D46B2D"/>
    <w:rsid w:val="00D47555"/>
    <w:rsid w:val="00D50115"/>
    <w:rsid w:val="00D509BB"/>
    <w:rsid w:val="00D60211"/>
    <w:rsid w:val="00D603A8"/>
    <w:rsid w:val="00D67575"/>
    <w:rsid w:val="00D67C5E"/>
    <w:rsid w:val="00D81AD4"/>
    <w:rsid w:val="00D81DDB"/>
    <w:rsid w:val="00D967E3"/>
    <w:rsid w:val="00DA2B70"/>
    <w:rsid w:val="00DA35AF"/>
    <w:rsid w:val="00DA45AA"/>
    <w:rsid w:val="00DA7F39"/>
    <w:rsid w:val="00DB05D1"/>
    <w:rsid w:val="00DC0DDF"/>
    <w:rsid w:val="00DC4AC5"/>
    <w:rsid w:val="00DD1BB2"/>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07B6"/>
    <w:rsid w:val="00E12CE7"/>
    <w:rsid w:val="00E17DA9"/>
    <w:rsid w:val="00E233C9"/>
    <w:rsid w:val="00E27DDD"/>
    <w:rsid w:val="00E314FA"/>
    <w:rsid w:val="00E36BA4"/>
    <w:rsid w:val="00E424DA"/>
    <w:rsid w:val="00E43A9D"/>
    <w:rsid w:val="00E46CCB"/>
    <w:rsid w:val="00E5271B"/>
    <w:rsid w:val="00E52DC5"/>
    <w:rsid w:val="00E5338F"/>
    <w:rsid w:val="00E5366C"/>
    <w:rsid w:val="00E536D9"/>
    <w:rsid w:val="00E53BD3"/>
    <w:rsid w:val="00E65E37"/>
    <w:rsid w:val="00E66840"/>
    <w:rsid w:val="00E6723A"/>
    <w:rsid w:val="00E71499"/>
    <w:rsid w:val="00E71596"/>
    <w:rsid w:val="00E7452C"/>
    <w:rsid w:val="00E83EEA"/>
    <w:rsid w:val="00E853B1"/>
    <w:rsid w:val="00E861D7"/>
    <w:rsid w:val="00E90604"/>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69DD"/>
    <w:rsid w:val="00FA20FA"/>
    <w:rsid w:val="00FB581A"/>
    <w:rsid w:val="00FB66E7"/>
    <w:rsid w:val="00FC74E0"/>
    <w:rsid w:val="00FD5C3F"/>
    <w:rsid w:val="00FD65C8"/>
    <w:rsid w:val="00FE0FFD"/>
    <w:rsid w:val="00FE1487"/>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0A4F0B-C622-4AD6-9CC4-52204EA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uiPriority="0"/>
    <w:lsdException w:name="annotation subject" w:uiPriority="0"/>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iPriority="0" w:unhideWhenUsed="1"/>
    <w:lsdException w:name="Table Grid" w:uiPriority="0"/>
    <w:lsdException w:name="Table Theme" w:uiPriority="0"/>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7864F0"/>
    <w:pPr>
      <w:spacing w:after="240"/>
      <w:outlineLvl w:val="0"/>
    </w:pPr>
    <w:rPr>
      <w:rFonts w:ascii="Arial" w:hAnsi="Arial" w:cs="Arial"/>
      <w:b/>
      <w:bCs/>
      <w:sz w:val="36"/>
      <w:szCs w:val="36"/>
    </w:rPr>
  </w:style>
  <w:style w:type="paragraph" w:styleId="Heading2">
    <w:name w:val="heading 2"/>
    <w:next w:val="BodyText"/>
    <w:link w:val="Heading2Char"/>
    <w:uiPriority w:val="2"/>
    <w:qFormat/>
    <w:rsid w:val="00562BA1"/>
    <w:pPr>
      <w:keepNext/>
      <w:keepLines/>
      <w:suppressAutoHyphens/>
      <w:spacing w:before="300" w:after="120"/>
      <w:outlineLvl w:val="1"/>
    </w:pPr>
    <w:rPr>
      <w:rFonts w:ascii="Arial" w:hAnsi="Arial" w:cs="Arial"/>
      <w:b/>
      <w:bCs/>
      <w:sz w:val="26"/>
      <w:szCs w:val="26"/>
    </w:rPr>
  </w:style>
  <w:style w:type="paragraph" w:styleId="Heading3">
    <w:name w:val="heading 3"/>
    <w:next w:val="BodyText"/>
    <w:link w:val="Heading3Char"/>
    <w:uiPriority w:val="2"/>
    <w:qFormat/>
    <w:rsid w:val="00801530"/>
    <w:pPr>
      <w:keepNext/>
      <w:keepLines/>
      <w:suppressAutoHyphens/>
      <w:spacing w:before="300" w:after="120"/>
      <w:outlineLvl w:val="2"/>
    </w:pPr>
    <w:rPr>
      <w:rFonts w:ascii="Arial" w:hAnsi="Arial" w:cs="Arial"/>
      <w:b/>
      <w:bCs/>
      <w:sz w:val="24"/>
      <w:szCs w:val="24"/>
    </w:rPr>
  </w:style>
  <w:style w:type="paragraph" w:styleId="Heading4">
    <w:name w:val="heading 4"/>
    <w:next w:val="BodyText"/>
    <w:link w:val="Heading4Char"/>
    <w:uiPriority w:val="6"/>
    <w:qFormat/>
    <w:rsid w:val="00801530"/>
    <w:pPr>
      <w:keepNext/>
      <w:keepLines/>
      <w:suppressAutoHyphens/>
      <w:spacing w:before="300" w:after="120"/>
      <w:outlineLvl w:val="3"/>
    </w:pPr>
    <w:rPr>
      <w:rFonts w:ascii="Arial" w:hAnsi="Arial" w:cs="Arial"/>
      <w:b/>
      <w:bCs/>
      <w:sz w:val="22"/>
      <w:szCs w:val="22"/>
    </w:rPr>
  </w:style>
  <w:style w:type="paragraph" w:styleId="Heading5">
    <w:name w:val="heading 5"/>
    <w:next w:val="BodyText"/>
    <w:link w:val="Heading5Char"/>
    <w:uiPriority w:val="6"/>
    <w:unhideWhenUsed/>
    <w:rsid w:val="00801530"/>
    <w:pPr>
      <w:keepNext/>
      <w:keepLines/>
      <w:suppressAutoHyphens/>
      <w:spacing w:before="240" w:after="120"/>
      <w:outlineLvl w:val="4"/>
    </w:pPr>
    <w:rPr>
      <w:rFonts w:ascii="Arial" w:hAnsi="Arial" w:cs="Arial"/>
      <w:b/>
      <w:bCs/>
      <w:iCs/>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62BA1"/>
    <w:rPr>
      <w:rFonts w:ascii="Arial" w:hAnsi="Arial" w:cs="Arial"/>
      <w:b/>
      <w:bCs/>
      <w:sz w:val="26"/>
      <w:szCs w:val="26"/>
    </w:rPr>
  </w:style>
  <w:style w:type="character" w:customStyle="1" w:styleId="Heading3Char">
    <w:name w:val="Heading 3 Char"/>
    <w:link w:val="Heading3"/>
    <w:uiPriority w:val="2"/>
    <w:locked/>
    <w:rsid w:val="00801530"/>
    <w:rPr>
      <w:rFonts w:ascii="Arial" w:hAnsi="Arial" w:cs="Arial"/>
      <w:b/>
      <w:bCs/>
      <w:sz w:val="24"/>
      <w:szCs w:val="24"/>
    </w:rPr>
  </w:style>
  <w:style w:type="character" w:customStyle="1" w:styleId="Heading4Char">
    <w:name w:val="Heading 4 Char"/>
    <w:link w:val="Heading4"/>
    <w:uiPriority w:val="6"/>
    <w:locked/>
    <w:rsid w:val="00801530"/>
    <w:rPr>
      <w:rFonts w:ascii="Arial" w:hAnsi="Arial" w:cs="Arial"/>
      <w:b/>
      <w:bCs/>
      <w:sz w:val="22"/>
      <w:szCs w:val="22"/>
    </w:rPr>
  </w:style>
  <w:style w:type="character" w:customStyle="1" w:styleId="Heading5Char">
    <w:name w:val="Heading 5 Char"/>
    <w:link w:val="Heading5"/>
    <w:uiPriority w:val="6"/>
    <w:locked/>
    <w:rsid w:val="00801530"/>
    <w:rPr>
      <w:rFonts w:ascii="Arial" w:hAnsi="Arial" w:cs="Arial"/>
      <w:b/>
      <w:bCs/>
      <w:iCs/>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3F5034"/>
    <w:pPr>
      <w:tabs>
        <w:tab w:val="center" w:pos="5387"/>
        <w:tab w:val="right" w:pos="10773"/>
      </w:tabs>
      <w:suppressAutoHyphens/>
      <w:spacing w:before="200"/>
    </w:pPr>
    <w:rPr>
      <w:rFonts w:ascii="Arial" w:hAnsi="Arial" w:cs="Arial"/>
      <w:sz w:val="18"/>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6848DA"/>
    <w:pPr>
      <w:suppressAutoHyphens/>
      <w:spacing w:before="80" w:after="80" w:line="264" w:lineRule="auto"/>
    </w:pPr>
    <w:rPr>
      <w:rFonts w:ascii="Arial" w:hAnsi="Arial" w:cs="Arial"/>
      <w:szCs w:val="18"/>
    </w:rPr>
  </w:style>
  <w:style w:type="numbering" w:customStyle="1" w:styleId="StyleOutlinenumbered">
    <w:name w:val="Style Outline numbered"/>
    <w:basedOn w:val="NoList"/>
    <w:rsid w:val="00DF6A8D"/>
    <w:pPr>
      <w:numPr>
        <w:numId w:val="2"/>
      </w:numPr>
    </w:pPr>
  </w:style>
  <w:style w:type="paragraph" w:styleId="ListBullet">
    <w:name w:val="List Bullet"/>
    <w:link w:val="ListBulletChar"/>
    <w:uiPriority w:val="1"/>
    <w:qFormat/>
    <w:rsid w:val="004D4603"/>
    <w:pPr>
      <w:numPr>
        <w:numId w:val="35"/>
      </w:numPr>
      <w:suppressAutoHyphens/>
      <w:spacing w:before="40" w:after="40" w:line="264" w:lineRule="auto"/>
    </w:pPr>
    <w:rPr>
      <w:rFonts w:ascii="Arial" w:hAnsi="Arial" w:cs="Arial"/>
      <w:szCs w:val="18"/>
    </w:rPr>
  </w:style>
  <w:style w:type="paragraph" w:styleId="ListBullet2">
    <w:name w:val="List Bullet 2"/>
    <w:link w:val="ListBullet2Char"/>
    <w:uiPriority w:val="3"/>
    <w:qFormat/>
    <w:rsid w:val="004D4603"/>
    <w:pPr>
      <w:numPr>
        <w:numId w:val="42"/>
      </w:numPr>
      <w:suppressAutoHyphens/>
      <w:spacing w:before="40" w:after="40" w:line="264" w:lineRule="auto"/>
    </w:pPr>
    <w:rPr>
      <w:rFonts w:ascii="Arial" w:hAnsi="Arial"/>
      <w:szCs w:val="24"/>
    </w:rPr>
  </w:style>
  <w:style w:type="paragraph" w:styleId="ListNumber">
    <w:name w:val="List Number"/>
    <w:link w:val="ListNumberChar"/>
    <w:uiPriority w:val="3"/>
    <w:rsid w:val="004D4603"/>
    <w:pPr>
      <w:numPr>
        <w:numId w:val="37"/>
      </w:numPr>
      <w:spacing w:before="40" w:after="40" w:line="264" w:lineRule="auto"/>
    </w:pPr>
    <w:rPr>
      <w:rFonts w:ascii="Arial" w:hAnsi="Arial"/>
      <w:szCs w:val="24"/>
    </w:rPr>
  </w:style>
  <w:style w:type="paragraph" w:styleId="ListNumber2">
    <w:name w:val="List Number 2"/>
    <w:link w:val="ListNumber2Char"/>
    <w:uiPriority w:val="5"/>
    <w:rsid w:val="004D4603"/>
    <w:pPr>
      <w:numPr>
        <w:numId w:val="44"/>
      </w:numPr>
      <w:spacing w:before="40" w:after="40" w:line="264" w:lineRule="auto"/>
    </w:pPr>
    <w:rPr>
      <w:rFonts w:ascii="Arial" w:hAnsi="Arial"/>
      <w:szCs w:val="24"/>
    </w:rPr>
  </w:style>
  <w:style w:type="paragraph" w:customStyle="1" w:styleId="TableText">
    <w:name w:val="Table Text"/>
    <w:basedOn w:val="BodyText"/>
    <w:uiPriority w:val="3"/>
    <w:qFormat/>
    <w:rsid w:val="004D4603"/>
    <w:pPr>
      <w:spacing w:line="240" w:lineRule="auto"/>
    </w:pPr>
    <w:rPr>
      <w:szCs w:val="20"/>
    </w:rPr>
  </w:style>
  <w:style w:type="paragraph" w:styleId="ListNumber3">
    <w:name w:val="List Number 3"/>
    <w:basedOn w:val="Normal"/>
    <w:uiPriority w:val="5"/>
    <w:rsid w:val="00233F44"/>
    <w:pPr>
      <w:numPr>
        <w:numId w:val="45"/>
      </w:numPr>
      <w:spacing w:before="40" w:after="40" w:line="264" w:lineRule="auto"/>
      <w:ind w:left="1020" w:hanging="340"/>
    </w:pPr>
    <w:rPr>
      <w:sz w:val="20"/>
    </w:rPr>
  </w:style>
  <w:style w:type="character" w:customStyle="1" w:styleId="BodyTextChar">
    <w:name w:val="Body Text Char"/>
    <w:link w:val="BodyText"/>
    <w:rsid w:val="006848DA"/>
    <w:rPr>
      <w:rFonts w:ascii="Arial" w:hAnsi="Arial" w:cs="Arial"/>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BD6B17"/>
    <w:pPr>
      <w:spacing w:line="264" w:lineRule="auto"/>
    </w:pPr>
    <w:rPr>
      <w:color w:val="636363"/>
      <w:szCs w:val="18"/>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3F5034"/>
    <w:rPr>
      <w:rFonts w:ascii="Arial" w:hAnsi="Arial" w:cs="Arial"/>
      <w:sz w:val="18"/>
      <w:szCs w:val="16"/>
    </w:rPr>
  </w:style>
  <w:style w:type="character" w:customStyle="1" w:styleId="Heading1Char">
    <w:name w:val="Heading 1 Char"/>
    <w:link w:val="Heading1"/>
    <w:uiPriority w:val="2"/>
    <w:rsid w:val="007864F0"/>
    <w:rPr>
      <w:rFonts w:ascii="Arial" w:hAnsi="Arial" w:cs="Arial"/>
      <w:b/>
      <w:bCs/>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4D4603"/>
    <w:rPr>
      <w:rFonts w:ascii="Arial" w:hAnsi="Arial" w:cs="Arial"/>
      <w:szCs w:val="18"/>
    </w:rPr>
  </w:style>
  <w:style w:type="character" w:customStyle="1" w:styleId="ListBullet2Char">
    <w:name w:val="List Bullet 2 Char"/>
    <w:link w:val="ListBullet2"/>
    <w:uiPriority w:val="3"/>
    <w:rsid w:val="004D4603"/>
    <w:rPr>
      <w:rFonts w:ascii="Arial" w:hAnsi="Arial"/>
      <w:szCs w:val="24"/>
    </w:rPr>
  </w:style>
  <w:style w:type="character" w:styleId="Strong">
    <w:name w:val="Strong"/>
    <w:uiPriority w:val="4"/>
    <w:qFormat/>
    <w:rsid w:val="00DF6A8D"/>
    <w:rPr>
      <w:b/>
      <w:bCs/>
    </w:rPr>
  </w:style>
  <w:style w:type="paragraph" w:styleId="ListBullet3">
    <w:name w:val="List Bullet 3"/>
    <w:basedOn w:val="Normal"/>
    <w:uiPriority w:val="3"/>
    <w:rsid w:val="00233F44"/>
    <w:pPr>
      <w:numPr>
        <w:numId w:val="43"/>
      </w:numPr>
      <w:spacing w:before="40" w:after="40" w:line="264" w:lineRule="auto"/>
      <w:ind w:left="1020" w:hanging="340"/>
    </w:pPr>
    <w:rPr>
      <w:sz w:val="20"/>
    </w:rPr>
  </w:style>
  <w:style w:type="character" w:customStyle="1" w:styleId="ListNumberChar">
    <w:name w:val="List Number Char"/>
    <w:link w:val="ListNumber"/>
    <w:uiPriority w:val="3"/>
    <w:rsid w:val="004D4603"/>
    <w:rPr>
      <w:rFonts w:ascii="Arial" w:hAnsi="Arial"/>
      <w:szCs w:val="24"/>
    </w:rPr>
  </w:style>
  <w:style w:type="character" w:customStyle="1" w:styleId="ListNumber2Char">
    <w:name w:val="List Number 2 Char"/>
    <w:link w:val="ListNumber2"/>
    <w:uiPriority w:val="5"/>
    <w:rsid w:val="004D4603"/>
    <w:rPr>
      <w:rFonts w:ascii="Arial" w:hAnsi="Arial"/>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CCD5-83E1-4E28-B51D-E0A1B102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Detailed Reference Guide 8: Rental provider non compliance register</vt:lpstr>
    </vt:vector>
  </TitlesOfParts>
  <Company>Department of Justice and Community Safety</Company>
  <LinksUpToDate>false</LinksUpToDate>
  <CharactersWithSpaces>3656</CharactersWithSpaces>
  <SharedDoc>false</SharedDoc>
  <HyperlinkBase/>
  <HLinks>
    <vt:vector size="6" baseType="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Reference Guide 8: Rental provider non compliance register</dc:title>
  <dc:subject/>
  <dc:creator>Consumer Affairs Victoria</dc:creator>
  <cp:keywords/>
  <cp:lastModifiedBy>David S</cp:lastModifiedBy>
  <cp:revision>5</cp:revision>
  <cp:lastPrinted>2016-05-23T03:42:00Z</cp:lastPrinted>
  <dcterms:created xsi:type="dcterms:W3CDTF">2020-04-29T01:31:00Z</dcterms:created>
  <dcterms:modified xsi:type="dcterms:W3CDTF">2020-10-05T06:30:00Z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ies>
</file>