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D5F" w:rsidRPr="00C970A8" w:rsidRDefault="00F10D5F" w:rsidP="00C970A8">
      <w:pPr>
        <w:pStyle w:val="Heading1"/>
      </w:pPr>
      <w:r w:rsidRPr="00C970A8">
        <w:t xml:space="preserve">Guidelines for </w:t>
      </w:r>
      <w:r w:rsidR="00BD7A6D" w:rsidRPr="00C970A8">
        <w:t xml:space="preserve">selecting </w:t>
      </w:r>
      <w:r w:rsidRPr="00C970A8">
        <w:t>comparable p</w:t>
      </w:r>
      <w:r w:rsidR="008B3192" w:rsidRPr="00C970A8">
        <w:t>ropert</w:t>
      </w:r>
      <w:r w:rsidRPr="00C970A8">
        <w:t>y sales – residential property</w:t>
      </w:r>
    </w:p>
    <w:p w:rsidR="00C94AF2" w:rsidRPr="001256E1" w:rsidRDefault="00C94AF2" w:rsidP="00435521">
      <w:pPr>
        <w:pStyle w:val="Bodystyle"/>
        <w:jc w:val="right"/>
        <w:rPr>
          <w:b/>
          <w:sz w:val="28"/>
          <w:szCs w:val="28"/>
        </w:rPr>
      </w:pPr>
      <w:r w:rsidRPr="001256E1">
        <w:rPr>
          <w:b/>
          <w:sz w:val="28"/>
          <w:szCs w:val="28"/>
        </w:rPr>
        <w:t>Section</w:t>
      </w:r>
      <w:r w:rsidR="00303714" w:rsidRPr="001256E1">
        <w:rPr>
          <w:b/>
          <w:sz w:val="28"/>
          <w:szCs w:val="28"/>
        </w:rPr>
        <w:t xml:space="preserve">s </w:t>
      </w:r>
      <w:r w:rsidRPr="001256E1">
        <w:rPr>
          <w:b/>
          <w:sz w:val="28"/>
          <w:szCs w:val="28"/>
        </w:rPr>
        <w:t>47AC</w:t>
      </w:r>
      <w:r w:rsidR="00BE6B75" w:rsidRPr="001256E1">
        <w:rPr>
          <w:b/>
          <w:sz w:val="28"/>
          <w:szCs w:val="28"/>
        </w:rPr>
        <w:t xml:space="preserve"> and 47AD</w:t>
      </w:r>
      <w:r w:rsidRPr="001256E1">
        <w:rPr>
          <w:b/>
          <w:sz w:val="28"/>
          <w:szCs w:val="28"/>
        </w:rPr>
        <w:t xml:space="preserve"> of the </w:t>
      </w:r>
      <w:r w:rsidRPr="00197A23">
        <w:rPr>
          <w:b/>
          <w:i/>
          <w:sz w:val="28"/>
          <w:szCs w:val="28"/>
        </w:rPr>
        <w:t>Estate Agents Act 1980</w:t>
      </w:r>
    </w:p>
    <w:p w:rsidR="008B3192" w:rsidRPr="00C970A8" w:rsidRDefault="008B3192" w:rsidP="00C970A8">
      <w:pPr>
        <w:pStyle w:val="Heading2"/>
      </w:pPr>
      <w:r w:rsidRPr="00C970A8">
        <w:t>About these guidelines</w:t>
      </w:r>
    </w:p>
    <w:p w:rsidR="00703F89" w:rsidRPr="005F477E" w:rsidRDefault="00703F89" w:rsidP="005F477E">
      <w:pPr>
        <w:pStyle w:val="BodyText"/>
      </w:pPr>
      <w:r w:rsidRPr="005F477E">
        <w:t>Section 47</w:t>
      </w:r>
      <w:proofErr w:type="gramStart"/>
      <w:r w:rsidRPr="005F477E">
        <w:t>AD(</w:t>
      </w:r>
      <w:proofErr w:type="gramEnd"/>
      <w:r w:rsidRPr="005F477E">
        <w:t xml:space="preserve">1) of the </w:t>
      </w:r>
      <w:r w:rsidRPr="005F477E">
        <w:rPr>
          <w:i/>
          <w:iCs/>
        </w:rPr>
        <w:t>Estate Agents Act 1980</w:t>
      </w:r>
      <w:r w:rsidRPr="005F477E">
        <w:t xml:space="preserve"> (</w:t>
      </w:r>
      <w:r w:rsidR="00D41D79" w:rsidRPr="005F477E">
        <w:t xml:space="preserve">the </w:t>
      </w:r>
      <w:r w:rsidRPr="005F477E">
        <w:t>Act) provides the authority for these guidelines, which are made by the Director of Consumer Affairs Victoria for the purpose of section 47AC(2)(d) of the Act. These guidelines are published on the Consumer Affairs Victoria website at consumer.vic.gov.au</w:t>
      </w:r>
      <w:r w:rsidR="007E216A" w:rsidRPr="005F477E">
        <w:t>/underquoting</w:t>
      </w:r>
      <w:r w:rsidRPr="005F477E">
        <w:t xml:space="preserve">. </w:t>
      </w:r>
    </w:p>
    <w:p w:rsidR="00CB5C18" w:rsidRPr="005F477E" w:rsidRDefault="008B3192" w:rsidP="006B62D3">
      <w:pPr>
        <w:pStyle w:val="BodyText"/>
      </w:pPr>
      <w:r w:rsidRPr="005F477E">
        <w:t>These gu</w:t>
      </w:r>
      <w:r w:rsidR="00CB5C18" w:rsidRPr="005F477E">
        <w:t xml:space="preserve">idelines set out the </w:t>
      </w:r>
      <w:r w:rsidR="00C65E9D" w:rsidRPr="005F477E">
        <w:t>factors</w:t>
      </w:r>
      <w:r w:rsidR="00CB5C18" w:rsidRPr="005F477E">
        <w:t xml:space="preserve"> that </w:t>
      </w:r>
      <w:r w:rsidR="00D43AB5" w:rsidRPr="005F477E">
        <w:t>you as an estate agent or agent</w:t>
      </w:r>
      <w:r w:rsidR="00197A23" w:rsidRPr="005F477E">
        <w:t>’</w:t>
      </w:r>
      <w:r w:rsidR="00D43AB5" w:rsidRPr="005F477E">
        <w:t>s representative</w:t>
      </w:r>
      <w:r w:rsidR="00CB5C18" w:rsidRPr="005F477E">
        <w:t xml:space="preserve"> must </w:t>
      </w:r>
      <w:proofErr w:type="gramStart"/>
      <w:r w:rsidR="00C65E9D" w:rsidRPr="005F477E">
        <w:t>take into account</w:t>
      </w:r>
      <w:proofErr w:type="gramEnd"/>
      <w:r w:rsidR="00CB5C18" w:rsidRPr="005F477E">
        <w:t xml:space="preserve"> </w:t>
      </w:r>
      <w:r w:rsidR="007E216A" w:rsidRPr="005F477E">
        <w:t>when</w:t>
      </w:r>
      <w:r w:rsidR="00CB5C18" w:rsidRPr="005F477E">
        <w:t xml:space="preserve"> </w:t>
      </w:r>
      <w:r w:rsidR="00C65E9D" w:rsidRPr="005F477E">
        <w:t>select</w:t>
      </w:r>
      <w:r w:rsidR="007E216A" w:rsidRPr="005F477E">
        <w:t>ing</w:t>
      </w:r>
      <w:r w:rsidR="00CB5C18" w:rsidRPr="005F477E">
        <w:t xml:space="preserve"> the </w:t>
      </w:r>
      <w:r w:rsidR="0074059D" w:rsidRPr="005F477E">
        <w:t xml:space="preserve">three </w:t>
      </w:r>
      <w:r w:rsidR="00CB5C18" w:rsidRPr="005F477E">
        <w:t xml:space="preserve">property sales </w:t>
      </w:r>
      <w:r w:rsidR="007D4F61" w:rsidRPr="005F477E">
        <w:t xml:space="preserve">that </w:t>
      </w:r>
      <w:r w:rsidR="00544F4A" w:rsidRPr="005F477E">
        <w:t xml:space="preserve">you </w:t>
      </w:r>
      <w:r w:rsidR="006B62D3">
        <w:t>reasonably</w:t>
      </w:r>
      <w:r w:rsidR="00544F4A" w:rsidRPr="005F477E">
        <w:t xml:space="preserve"> consider to be m</w:t>
      </w:r>
      <w:r w:rsidR="007D4F61" w:rsidRPr="005F477E">
        <w:t xml:space="preserve">ost comparable to </w:t>
      </w:r>
      <w:r w:rsidR="00BD7A6D" w:rsidRPr="005F477E">
        <w:t xml:space="preserve">the </w:t>
      </w:r>
      <w:r w:rsidR="0074059D" w:rsidRPr="005F477E">
        <w:t>residential p</w:t>
      </w:r>
      <w:r w:rsidR="00C94AF2" w:rsidRPr="005F477E">
        <w:t xml:space="preserve">roperty </w:t>
      </w:r>
      <w:r w:rsidR="00BD7A6D" w:rsidRPr="005F477E">
        <w:t>that you have been engaged</w:t>
      </w:r>
      <w:r w:rsidR="007E216A" w:rsidRPr="005F477E">
        <w:t xml:space="preserve"> </w:t>
      </w:r>
      <w:r w:rsidR="00D41D79" w:rsidRPr="005F477E">
        <w:t xml:space="preserve">to </w:t>
      </w:r>
      <w:r w:rsidR="007E216A" w:rsidRPr="005F477E">
        <w:t>sell</w:t>
      </w:r>
      <w:r w:rsidR="00CB5C18" w:rsidRPr="005F477E">
        <w:t xml:space="preserve">. </w:t>
      </w:r>
    </w:p>
    <w:p w:rsidR="008B3192" w:rsidRDefault="007E216A" w:rsidP="00C970A8">
      <w:pPr>
        <w:pStyle w:val="Heading2"/>
      </w:pPr>
      <w:r>
        <w:t>Your requirements under</w:t>
      </w:r>
      <w:r w:rsidR="007352DE">
        <w:t xml:space="preserve"> </w:t>
      </w:r>
      <w:r w:rsidR="00BD7A6D">
        <w:t>the Act</w:t>
      </w:r>
    </w:p>
    <w:p w:rsidR="008B3192" w:rsidRDefault="008B3192" w:rsidP="005F477E">
      <w:pPr>
        <w:pStyle w:val="BodyText"/>
      </w:pPr>
      <w:r>
        <w:t xml:space="preserve">The requirements </w:t>
      </w:r>
      <w:r w:rsidR="006835A0">
        <w:t xml:space="preserve">relating </w:t>
      </w:r>
      <w:r w:rsidR="00E73B9A">
        <w:t xml:space="preserve">to </w:t>
      </w:r>
      <w:r w:rsidR="006835A0">
        <w:t xml:space="preserve">the </w:t>
      </w:r>
      <w:r w:rsidR="00707CBB">
        <w:t xml:space="preserve">estimated selling price and </w:t>
      </w:r>
      <w:r w:rsidR="00E73B9A">
        <w:t xml:space="preserve">the </w:t>
      </w:r>
      <w:r w:rsidR="00707CBB">
        <w:t xml:space="preserve">comparable </w:t>
      </w:r>
      <w:r w:rsidR="0026120E">
        <w:t xml:space="preserve">property sales </w:t>
      </w:r>
      <w:r w:rsidR="001A0C17">
        <w:t>a</w:t>
      </w:r>
      <w:r w:rsidR="0026120E">
        <w:t>re set out in sections 47A, 47AB</w:t>
      </w:r>
      <w:r w:rsidR="005A0D72">
        <w:t xml:space="preserve">, </w:t>
      </w:r>
      <w:r w:rsidR="0026120E">
        <w:t xml:space="preserve">47AC </w:t>
      </w:r>
      <w:r w:rsidR="005A0D72">
        <w:t xml:space="preserve">and 47AF </w:t>
      </w:r>
      <w:r w:rsidR="0026120E">
        <w:t>of the Act.</w:t>
      </w:r>
    </w:p>
    <w:p w:rsidR="00197A23" w:rsidRDefault="001F00DF" w:rsidP="005F477E">
      <w:pPr>
        <w:pStyle w:val="BodyText"/>
      </w:pPr>
      <w:r>
        <w:t>Y</w:t>
      </w:r>
      <w:r w:rsidR="005A0D72">
        <w:t xml:space="preserve">ou </w:t>
      </w:r>
      <w:r>
        <w:t>must</w:t>
      </w:r>
      <w:r w:rsidR="005A0D72">
        <w:t xml:space="preserve"> include your estimate </w:t>
      </w:r>
      <w:r w:rsidR="005C743B" w:rsidRPr="0074059D">
        <w:t xml:space="preserve">of the selling price </w:t>
      </w:r>
      <w:r w:rsidR="001A0C17">
        <w:t>for</w:t>
      </w:r>
      <w:r w:rsidR="00F10D5F">
        <w:t xml:space="preserve"> </w:t>
      </w:r>
      <w:r w:rsidR="008B3192">
        <w:t xml:space="preserve">a </w:t>
      </w:r>
      <w:r w:rsidR="0074059D">
        <w:t xml:space="preserve">residential property </w:t>
      </w:r>
      <w:r w:rsidR="005C743B" w:rsidRPr="0074059D">
        <w:t xml:space="preserve">in </w:t>
      </w:r>
      <w:r w:rsidR="0074059D">
        <w:t xml:space="preserve">your </w:t>
      </w:r>
      <w:r w:rsidR="00544F4A">
        <w:t>sales authority before</w:t>
      </w:r>
      <w:r w:rsidR="005C743B" w:rsidRPr="0074059D">
        <w:t xml:space="preserve"> </w:t>
      </w:r>
      <w:r w:rsidR="00761929">
        <w:t>it is signed by the seller</w:t>
      </w:r>
      <w:r w:rsidR="008B3192">
        <w:t xml:space="preserve">. </w:t>
      </w:r>
      <w:r>
        <w:t>Y</w:t>
      </w:r>
      <w:r w:rsidR="0026120E">
        <w:t>our estimate</w:t>
      </w:r>
      <w:r w:rsidR="00707CBB">
        <w:t xml:space="preserve"> </w:t>
      </w:r>
      <w:r w:rsidR="0026120E">
        <w:t xml:space="preserve">must be reasonable </w:t>
      </w:r>
      <w:r w:rsidR="00F10D5F">
        <w:t xml:space="preserve">and </w:t>
      </w:r>
      <w:proofErr w:type="gramStart"/>
      <w:r w:rsidR="00F10D5F">
        <w:t>take into account</w:t>
      </w:r>
      <w:proofErr w:type="gramEnd"/>
      <w:r w:rsidR="00F10D5F">
        <w:t xml:space="preserve"> the </w:t>
      </w:r>
      <w:r w:rsidR="007E216A">
        <w:t xml:space="preserve">three </w:t>
      </w:r>
      <w:r w:rsidR="00197A23">
        <w:t xml:space="preserve">most </w:t>
      </w:r>
      <w:r w:rsidR="007E216A">
        <w:t xml:space="preserve">comparable property </w:t>
      </w:r>
      <w:r w:rsidR="00F10D5F">
        <w:t>sale</w:t>
      </w:r>
      <w:r w:rsidR="00BE015E">
        <w:t>s</w:t>
      </w:r>
      <w:r w:rsidR="00EA7925">
        <w:t>.</w:t>
      </w:r>
      <w:r w:rsidR="00E73B9A">
        <w:t xml:space="preserve"> </w:t>
      </w:r>
      <w:r w:rsidR="00197A23">
        <w:t>You are not required to consider comparable property sales to determine your estimated selling price, if you reasonably believe that fewer than three comparable properties were sold in the prescribed time</w:t>
      </w:r>
      <w:r w:rsidR="00B35989">
        <w:t>s</w:t>
      </w:r>
      <w:r w:rsidR="00197A23">
        <w:t xml:space="preserve"> </w:t>
      </w:r>
      <w:r w:rsidR="00710815">
        <w:t>and locations</w:t>
      </w:r>
      <w:r w:rsidR="00197A23">
        <w:t>.</w:t>
      </w:r>
    </w:p>
    <w:p w:rsidR="00197A23" w:rsidRDefault="00197A23" w:rsidP="005F477E">
      <w:pPr>
        <w:pStyle w:val="BodyText"/>
      </w:pPr>
      <w:r>
        <w:t>Under section 47</w:t>
      </w:r>
      <w:proofErr w:type="gramStart"/>
      <w:r>
        <w:t>AC(</w:t>
      </w:r>
      <w:proofErr w:type="gramEnd"/>
      <w:r>
        <w:t xml:space="preserve">1) and (4) of the Act a comparable property is a property that is of a similar standard </w:t>
      </w:r>
      <w:r w:rsidR="007B417F">
        <w:t xml:space="preserve">or </w:t>
      </w:r>
      <w:r>
        <w:t>condition to the property for sale, and has either been:</w:t>
      </w:r>
    </w:p>
    <w:p w:rsidR="00197A23" w:rsidRPr="00C970A8" w:rsidRDefault="00197A23" w:rsidP="00C970A8">
      <w:pPr>
        <w:pStyle w:val="ListBullet"/>
      </w:pPr>
      <w:r w:rsidRPr="00C970A8">
        <w:t>sold within the last six months and is located within two kilometres of the property for sale if that property is located within the Melbourne metropolitan area, or</w:t>
      </w:r>
    </w:p>
    <w:p w:rsidR="00C970A8" w:rsidRDefault="00197A23" w:rsidP="00C970A8">
      <w:pPr>
        <w:pStyle w:val="ListBullet"/>
      </w:pPr>
      <w:r w:rsidRPr="00C970A8">
        <w:t xml:space="preserve">sold within the last 18 months and is located within five kilometres of the property for sale if that property is located outside the Melbourne metropolitan area. </w:t>
      </w:r>
    </w:p>
    <w:p w:rsidR="00197A23" w:rsidRDefault="00197A23" w:rsidP="005F477E">
      <w:pPr>
        <w:pStyle w:val="BodyText"/>
      </w:pPr>
      <w:r>
        <w:t xml:space="preserve">The Determination setting out the local government areas that comprise the Melbourne metropolitan area is published on the </w:t>
      </w:r>
      <w:r w:rsidRPr="001B4E33">
        <w:t>Consumer Affairs Victoria website</w:t>
      </w:r>
      <w:r w:rsidRPr="00C970A8">
        <w:rPr>
          <w:color w:val="0000FF"/>
        </w:rPr>
        <w:t xml:space="preserve"> </w:t>
      </w:r>
      <w:r>
        <w:t>at consumer.vic.gov.au/underquoting.</w:t>
      </w:r>
    </w:p>
    <w:p w:rsidR="00197A23" w:rsidRDefault="005E3FB2" w:rsidP="005F477E">
      <w:pPr>
        <w:pStyle w:val="BodyText"/>
      </w:pPr>
      <w:r>
        <w:t>The details of the three most comparable property sales m</w:t>
      </w:r>
      <w:r w:rsidR="00544F4A">
        <w:t>ust also be included in the Statement of I</w:t>
      </w:r>
      <w:r>
        <w:t xml:space="preserve">nformation that you must provide to a prospective buyer </w:t>
      </w:r>
      <w:r w:rsidR="0076148B">
        <w:t>within two business days</w:t>
      </w:r>
      <w:r w:rsidR="00425E79">
        <w:t xml:space="preserve"> of a request</w:t>
      </w:r>
      <w:r>
        <w:t xml:space="preserve">, </w:t>
      </w:r>
      <w:r w:rsidR="00710815">
        <w:t>display at any open for inspection and include with</w:t>
      </w:r>
      <w:r>
        <w:t xml:space="preserve"> any </w:t>
      </w:r>
      <w:r w:rsidR="00710815">
        <w:t>internet</w:t>
      </w:r>
      <w:r>
        <w:t xml:space="preserve"> advertising for the property being offered for sale.</w:t>
      </w:r>
      <w:r w:rsidR="00106449">
        <w:t xml:space="preserve"> If comparable property sales were not </w:t>
      </w:r>
      <w:proofErr w:type="gramStart"/>
      <w:r w:rsidR="00106449">
        <w:t>taken into ac</w:t>
      </w:r>
      <w:r w:rsidR="00B35989">
        <w:t>count</w:t>
      </w:r>
      <w:proofErr w:type="gramEnd"/>
      <w:r w:rsidR="00B35989">
        <w:t xml:space="preserve"> when setting the estimated</w:t>
      </w:r>
      <w:r w:rsidR="00106449">
        <w:t xml:space="preserve"> selling price, </w:t>
      </w:r>
      <w:r w:rsidR="00071B03" w:rsidRPr="00071B03">
        <w:t>a statement outlining that you reasonably believe there are less than th</w:t>
      </w:r>
      <w:r w:rsidR="00B35989">
        <w:t xml:space="preserve">ree comparable sales available </w:t>
      </w:r>
      <w:r w:rsidR="00071B03">
        <w:t>must be included in the Statement of Information.</w:t>
      </w:r>
    </w:p>
    <w:p w:rsidR="00B91C81" w:rsidRDefault="009D6BE2" w:rsidP="005F477E">
      <w:pPr>
        <w:pStyle w:val="BodyText"/>
      </w:pPr>
      <w:r>
        <w:t>To select the most comparable property sales</w:t>
      </w:r>
      <w:r w:rsidR="005672B8">
        <w:t xml:space="preserve">, you must </w:t>
      </w:r>
      <w:r w:rsidR="005E3FB2">
        <w:t xml:space="preserve">take into account the factors specified </w:t>
      </w:r>
      <w:r w:rsidR="00425E79">
        <w:t>in section 47</w:t>
      </w:r>
      <w:proofErr w:type="gramStart"/>
      <w:r w:rsidR="00425E79">
        <w:t>AC(</w:t>
      </w:r>
      <w:proofErr w:type="gramEnd"/>
      <w:r w:rsidR="00425E79">
        <w:t xml:space="preserve">2) of the </w:t>
      </w:r>
      <w:r w:rsidR="005E3FB2">
        <w:t xml:space="preserve">Act </w:t>
      </w:r>
      <w:r w:rsidR="005672B8">
        <w:t>and these guidelines.</w:t>
      </w:r>
    </w:p>
    <w:p w:rsidR="00580AD8" w:rsidRPr="00B91C81" w:rsidRDefault="00205F67" w:rsidP="00573E76">
      <w:pPr>
        <w:pStyle w:val="Heading2"/>
        <w:spacing w:before="360"/>
      </w:pPr>
      <w:r w:rsidRPr="00B91C81">
        <w:t>Factors</w:t>
      </w:r>
      <w:r w:rsidR="007E216A" w:rsidRPr="00B91C81">
        <w:t xml:space="preserve"> you </w:t>
      </w:r>
      <w:r w:rsidR="00E73B9A" w:rsidRPr="00B91C81">
        <w:t>must consider</w:t>
      </w:r>
    </w:p>
    <w:p w:rsidR="0022313E" w:rsidRDefault="00303714" w:rsidP="005F477E">
      <w:pPr>
        <w:pStyle w:val="BodyText"/>
      </w:pPr>
      <w:r>
        <w:t>You</w:t>
      </w:r>
      <w:r w:rsidR="001A5437">
        <w:t>r</w:t>
      </w:r>
      <w:r w:rsidR="0022313E">
        <w:t xml:space="preserve"> </w:t>
      </w:r>
      <w:r>
        <w:t xml:space="preserve">aim is to find past sales of </w:t>
      </w:r>
      <w:r w:rsidR="0050254A">
        <w:t xml:space="preserve">comparable </w:t>
      </w:r>
      <w:r w:rsidR="007E09A1">
        <w:t>properties</w:t>
      </w:r>
      <w:r w:rsidR="0062702F">
        <w:t xml:space="preserve"> where the propert</w:t>
      </w:r>
      <w:r w:rsidR="006613FE">
        <w:t>ies</w:t>
      </w:r>
      <w:r w:rsidR="0062702F">
        <w:t xml:space="preserve"> that </w:t>
      </w:r>
      <w:r w:rsidR="006613FE">
        <w:t>were</w:t>
      </w:r>
      <w:r w:rsidR="0062702F">
        <w:t xml:space="preserve"> sold </w:t>
      </w:r>
      <w:r w:rsidR="006613FE">
        <w:t xml:space="preserve">are </w:t>
      </w:r>
      <w:r w:rsidR="007E09A1">
        <w:t xml:space="preserve">most like the property being offered for sale. </w:t>
      </w:r>
    </w:p>
    <w:p w:rsidR="007E216A" w:rsidRDefault="001B4E33" w:rsidP="005F477E">
      <w:pPr>
        <w:pStyle w:val="BodyText"/>
      </w:pPr>
      <w:r>
        <w:t>Section 47</w:t>
      </w:r>
      <w:proofErr w:type="gramStart"/>
      <w:r>
        <w:t>AC</w:t>
      </w:r>
      <w:r w:rsidR="00226550">
        <w:t>(</w:t>
      </w:r>
      <w:proofErr w:type="gramEnd"/>
      <w:r w:rsidR="00226550">
        <w:t>2)</w:t>
      </w:r>
      <w:r>
        <w:t xml:space="preserve"> of the </w:t>
      </w:r>
      <w:r w:rsidR="005672B8">
        <w:t xml:space="preserve">Act specifies </w:t>
      </w:r>
      <w:r w:rsidR="007E216A">
        <w:t xml:space="preserve">the following </w:t>
      </w:r>
      <w:r w:rsidR="005672B8">
        <w:t xml:space="preserve">factors </w:t>
      </w:r>
      <w:r w:rsidR="00D41D79">
        <w:t xml:space="preserve">you must consider </w:t>
      </w:r>
      <w:r w:rsidR="007E216A">
        <w:t>when selecting the three comparable property sales:</w:t>
      </w:r>
    </w:p>
    <w:p w:rsidR="0050254A" w:rsidRDefault="0050254A" w:rsidP="00C970A8">
      <w:pPr>
        <w:pStyle w:val="ListBullet"/>
      </w:pPr>
      <w:r>
        <w:lastRenderedPageBreak/>
        <w:t>the standard and condition of the properties</w:t>
      </w:r>
    </w:p>
    <w:p w:rsidR="0050254A" w:rsidRDefault="0050254A" w:rsidP="00C970A8">
      <w:pPr>
        <w:pStyle w:val="ListBullet"/>
      </w:pPr>
      <w:r>
        <w:t>the location of the properties</w:t>
      </w:r>
    </w:p>
    <w:p w:rsidR="0050254A" w:rsidRDefault="0050254A" w:rsidP="00C970A8">
      <w:pPr>
        <w:pStyle w:val="ListBullet"/>
      </w:pPr>
      <w:r>
        <w:t>the dates on which the properties were sold, and</w:t>
      </w:r>
    </w:p>
    <w:p w:rsidR="0050254A" w:rsidRDefault="0050254A" w:rsidP="00C970A8">
      <w:pPr>
        <w:pStyle w:val="ListBullet"/>
      </w:pPr>
      <w:r>
        <w:t>these guidelines.</w:t>
      </w:r>
    </w:p>
    <w:p w:rsidR="0050254A" w:rsidRDefault="006613FE" w:rsidP="005F477E">
      <w:pPr>
        <w:pStyle w:val="BodyText"/>
      </w:pPr>
      <w:r>
        <w:t>The m</w:t>
      </w:r>
      <w:r w:rsidR="0050254A">
        <w:t xml:space="preserve">atters </w:t>
      </w:r>
      <w:r>
        <w:t xml:space="preserve">that </w:t>
      </w:r>
      <w:r w:rsidR="0050254A">
        <w:t>you must consider for each of these factors</w:t>
      </w:r>
      <w:r>
        <w:t xml:space="preserve"> are detailed below</w:t>
      </w:r>
      <w:bookmarkStart w:id="0" w:name="_Hlk1570661"/>
      <w:r w:rsidR="0018571F">
        <w:t>.</w:t>
      </w:r>
      <w:r w:rsidR="006B1F75">
        <w:t xml:space="preserve"> </w:t>
      </w:r>
      <w:bookmarkEnd w:id="0"/>
      <w:r w:rsidR="00BD3A59">
        <w:t>You must consider each matter to the extent that information relevant to the matter is reasonably available to you.</w:t>
      </w:r>
    </w:p>
    <w:p w:rsidR="001F3115" w:rsidRDefault="0018571F" w:rsidP="001F3115">
      <w:pPr>
        <w:pStyle w:val="Numberlist"/>
      </w:pPr>
      <w:r w:rsidRPr="001F3115">
        <w:rPr>
          <w:b/>
          <w:i/>
        </w:rPr>
        <w:t>Properties of a s</w:t>
      </w:r>
      <w:r w:rsidR="007E09A1" w:rsidRPr="001F3115">
        <w:rPr>
          <w:b/>
          <w:i/>
        </w:rPr>
        <w:t xml:space="preserve">imilar </w:t>
      </w:r>
      <w:r w:rsidR="00682674" w:rsidRPr="001F3115">
        <w:rPr>
          <w:b/>
          <w:i/>
        </w:rPr>
        <w:t>standard and condition</w:t>
      </w:r>
      <w:r w:rsidR="00682674" w:rsidRPr="00B06526">
        <w:t xml:space="preserve"> </w:t>
      </w:r>
      <w:r w:rsidR="007E09A1" w:rsidRPr="00B06526">
        <w:t>–</w:t>
      </w:r>
      <w:r w:rsidR="00C65E9D" w:rsidRPr="00B06526">
        <w:t xml:space="preserve"> </w:t>
      </w:r>
      <w:r w:rsidR="006B3C4B">
        <w:t xml:space="preserve">To ensure that </w:t>
      </w:r>
      <w:r w:rsidR="001F3115">
        <w:t>a comparable property is</w:t>
      </w:r>
      <w:r w:rsidR="006B3C4B">
        <w:t xml:space="preserve"> of a similar standard and condition </w:t>
      </w:r>
      <w:r w:rsidR="001F3115">
        <w:t>to the property being offered for sale you must consider</w:t>
      </w:r>
      <w:r w:rsidR="00945AC6">
        <w:t xml:space="preserve"> the following features of the comparable property at the time it was sold</w:t>
      </w:r>
      <w:r w:rsidR="00B35989">
        <w:t>.</w:t>
      </w:r>
      <w:r w:rsidR="001F3115">
        <w:t xml:space="preserve"> </w:t>
      </w:r>
    </w:p>
    <w:p w:rsidR="008579C5" w:rsidRDefault="0022313E" w:rsidP="00C970A8">
      <w:pPr>
        <w:pStyle w:val="ListBullet"/>
        <w:numPr>
          <w:ilvl w:val="1"/>
          <w:numId w:val="1"/>
        </w:numPr>
      </w:pPr>
      <w:r>
        <w:t>I</w:t>
      </w:r>
      <w:r w:rsidR="001F3115">
        <w:t>ts</w:t>
      </w:r>
      <w:r w:rsidR="001F3115" w:rsidRPr="001F3115">
        <w:t xml:space="preserve"> </w:t>
      </w:r>
      <w:r w:rsidR="007352DE">
        <w:t>external construction</w:t>
      </w:r>
      <w:r>
        <w:t xml:space="preserve"> </w:t>
      </w:r>
      <w:r w:rsidR="00B35989">
        <w:t xml:space="preserve">– </w:t>
      </w:r>
      <w:r w:rsidR="007352DE">
        <w:t>for example, the building</w:t>
      </w:r>
      <w:r w:rsidR="008579C5">
        <w:t xml:space="preserve"> materials used</w:t>
      </w:r>
      <w:r>
        <w:t>.</w:t>
      </w:r>
      <w:r w:rsidR="008579C5">
        <w:t xml:space="preserve"> </w:t>
      </w:r>
    </w:p>
    <w:p w:rsidR="00303714" w:rsidRDefault="0022313E" w:rsidP="00C970A8">
      <w:pPr>
        <w:pStyle w:val="ListBullet"/>
        <w:numPr>
          <w:ilvl w:val="1"/>
          <w:numId w:val="1"/>
        </w:numPr>
      </w:pPr>
      <w:r>
        <w:t>I</w:t>
      </w:r>
      <w:r w:rsidR="008579C5">
        <w:t xml:space="preserve">ts </w:t>
      </w:r>
      <w:r w:rsidR="001F3115">
        <w:t>a</w:t>
      </w:r>
      <w:r w:rsidR="00303714" w:rsidRPr="001F3115">
        <w:t>rchitectural style</w:t>
      </w:r>
      <w:r w:rsidR="008579C5">
        <w:t xml:space="preserve"> and layout</w:t>
      </w:r>
      <w:r>
        <w:t>.</w:t>
      </w:r>
    </w:p>
    <w:p w:rsidR="00C636D2" w:rsidRDefault="0022313E" w:rsidP="00226550">
      <w:pPr>
        <w:pStyle w:val="ListBullet"/>
        <w:numPr>
          <w:ilvl w:val="1"/>
          <w:numId w:val="1"/>
        </w:numPr>
      </w:pPr>
      <w:r>
        <w:t>I</w:t>
      </w:r>
      <w:r w:rsidR="001F3115">
        <w:t>ts size in</w:t>
      </w:r>
      <w:r w:rsidR="007352DE">
        <w:t xml:space="preserve">cluding </w:t>
      </w:r>
      <w:r w:rsidR="00001863">
        <w:t xml:space="preserve">floor size of the dwelling and </w:t>
      </w:r>
      <w:r w:rsidR="001B4E33">
        <w:t>land size</w:t>
      </w:r>
      <w:r w:rsidR="00001863">
        <w:t xml:space="preserve"> of the property (as applicable)</w:t>
      </w:r>
    </w:p>
    <w:p w:rsidR="00001863" w:rsidRDefault="00001863" w:rsidP="00226550">
      <w:pPr>
        <w:pStyle w:val="ListBullet"/>
        <w:numPr>
          <w:ilvl w:val="1"/>
          <w:numId w:val="1"/>
        </w:numPr>
      </w:pPr>
      <w:r>
        <w:t>the number of bedrooms, number of bathrooms and the number of car parking spaces.</w:t>
      </w:r>
    </w:p>
    <w:p w:rsidR="00B06526" w:rsidRDefault="003D3EF4" w:rsidP="00C970A8">
      <w:pPr>
        <w:pStyle w:val="ListBullet"/>
        <w:numPr>
          <w:ilvl w:val="1"/>
          <w:numId w:val="1"/>
        </w:numPr>
      </w:pPr>
      <w:r>
        <w:t>A</w:t>
      </w:r>
      <w:r w:rsidR="00C636D2">
        <w:t>ny special features, for example, a swimming pool or a tennis court</w:t>
      </w:r>
      <w:r w:rsidR="007352DE">
        <w:t>.</w:t>
      </w:r>
    </w:p>
    <w:p w:rsidR="0062684F" w:rsidRDefault="0018571F" w:rsidP="0062684F">
      <w:pPr>
        <w:pStyle w:val="Numberlist"/>
        <w:numPr>
          <w:ilvl w:val="0"/>
          <w:numId w:val="0"/>
        </w:numPr>
        <w:ind w:left="360"/>
      </w:pPr>
      <w:r w:rsidRPr="006D78D7">
        <w:rPr>
          <w:b/>
          <w:i/>
        </w:rPr>
        <w:t xml:space="preserve">Properties </w:t>
      </w:r>
      <w:r w:rsidR="00D41D79">
        <w:rPr>
          <w:b/>
          <w:i/>
        </w:rPr>
        <w:t xml:space="preserve">in </w:t>
      </w:r>
      <w:r w:rsidRPr="006D78D7">
        <w:rPr>
          <w:b/>
          <w:i/>
        </w:rPr>
        <w:t>a s</w:t>
      </w:r>
      <w:r w:rsidR="007E09A1" w:rsidRPr="006D78D7">
        <w:rPr>
          <w:b/>
          <w:i/>
        </w:rPr>
        <w:t>imilar location</w:t>
      </w:r>
      <w:r w:rsidR="00682674" w:rsidRPr="006D78D7">
        <w:t xml:space="preserve"> </w:t>
      </w:r>
      <w:r w:rsidR="00C65E9D" w:rsidRPr="006D78D7">
        <w:t xml:space="preserve">– </w:t>
      </w:r>
      <w:r w:rsidR="0062684F" w:rsidRPr="001626F3">
        <w:t xml:space="preserve">The </w:t>
      </w:r>
      <w:r w:rsidR="00882850">
        <w:t xml:space="preserve">maximum distance between the property for sale and a </w:t>
      </w:r>
      <w:r w:rsidR="0062684F">
        <w:t>comparable property are specified in section 47</w:t>
      </w:r>
      <w:proofErr w:type="gramStart"/>
      <w:r w:rsidR="0062684F">
        <w:t>AC(</w:t>
      </w:r>
      <w:proofErr w:type="gramEnd"/>
      <w:r w:rsidR="0062684F">
        <w:t>4) of the Act.  For a property for sale in the Melbourne metropolitan area, a comparable property must be within two kilometres of that property. For a property for sale outside the Melbourne metropolitan area, a comparable property must be within five kilometres of that property.</w:t>
      </w:r>
      <w:r w:rsidR="0077716B">
        <w:t xml:space="preserve"> </w:t>
      </w:r>
    </w:p>
    <w:p w:rsidR="0077716B" w:rsidRPr="00721D12" w:rsidRDefault="0077716B" w:rsidP="0062684F">
      <w:pPr>
        <w:pStyle w:val="Numberlist"/>
        <w:numPr>
          <w:ilvl w:val="0"/>
          <w:numId w:val="0"/>
        </w:numPr>
        <w:ind w:left="360"/>
      </w:pPr>
      <w:r w:rsidRPr="00721D12">
        <w:t>When considering whether a property is in a similar location, you must co</w:t>
      </w:r>
      <w:r w:rsidR="00721D12">
        <w:t>nsider</w:t>
      </w:r>
      <w:r w:rsidRPr="00721D12">
        <w:t xml:space="preserve"> the following matters:</w:t>
      </w:r>
    </w:p>
    <w:p w:rsidR="0077716B" w:rsidRDefault="00D63C50" w:rsidP="00721D12">
      <w:pPr>
        <w:pStyle w:val="ListBullet"/>
        <w:numPr>
          <w:ilvl w:val="1"/>
          <w:numId w:val="1"/>
        </w:numPr>
      </w:pPr>
      <w:r>
        <w:t>d</w:t>
      </w:r>
      <w:r w:rsidR="0077716B">
        <w:t xml:space="preserve">istance between the properties </w:t>
      </w:r>
    </w:p>
    <w:p w:rsidR="0077716B" w:rsidRDefault="00D63C50" w:rsidP="00721D12">
      <w:pPr>
        <w:pStyle w:val="ListBullet"/>
        <w:numPr>
          <w:ilvl w:val="1"/>
          <w:numId w:val="1"/>
        </w:numPr>
      </w:pPr>
      <w:r>
        <w:t>z</w:t>
      </w:r>
      <w:r w:rsidR="0077716B" w:rsidRPr="006D78D7">
        <w:t>oning and street frontage</w:t>
      </w:r>
    </w:p>
    <w:p w:rsidR="0077716B" w:rsidRDefault="00D63C50" w:rsidP="00721D12">
      <w:pPr>
        <w:pStyle w:val="ListBullet"/>
        <w:numPr>
          <w:ilvl w:val="1"/>
          <w:numId w:val="1"/>
        </w:numPr>
      </w:pPr>
      <w:r>
        <w:t>neighbourhood features (</w:t>
      </w:r>
      <w:proofErr w:type="spellStart"/>
      <w:r>
        <w:t>eg</w:t>
      </w:r>
      <w:proofErr w:type="spellEnd"/>
      <w:r>
        <w:t xml:space="preserve"> p</w:t>
      </w:r>
      <w:r w:rsidRPr="006D78D7">
        <w:t>roximity to shops, transport, schools, parks, business and industry</w:t>
      </w:r>
      <w:r>
        <w:t>)</w:t>
      </w:r>
      <w:r w:rsidRPr="006D78D7">
        <w:t>.</w:t>
      </w:r>
    </w:p>
    <w:p w:rsidR="0062684F" w:rsidRPr="0062684F" w:rsidRDefault="0062684F" w:rsidP="00D63C50">
      <w:pPr>
        <w:pStyle w:val="Numberlist"/>
        <w:numPr>
          <w:ilvl w:val="0"/>
          <w:numId w:val="0"/>
        </w:numPr>
        <w:ind w:left="360"/>
      </w:pPr>
      <w:bookmarkStart w:id="1" w:name="_Hlk1570445"/>
      <w:r>
        <w:t xml:space="preserve">Where </w:t>
      </w:r>
      <w:r w:rsidR="00D63C50">
        <w:t>conside</w:t>
      </w:r>
      <w:bookmarkStart w:id="2" w:name="_GoBack"/>
      <w:bookmarkEnd w:id="2"/>
      <w:r w:rsidR="00D63C50">
        <w:t>ring multiple potential comparable properties</w:t>
      </w:r>
      <w:r w:rsidR="00882850">
        <w:t xml:space="preserve"> that are otherwise the same</w:t>
      </w:r>
      <w:r>
        <w:t xml:space="preserve">, a comparable property located closer to the property for sale </w:t>
      </w:r>
      <w:r w:rsidR="00D63C50">
        <w:t>(</w:t>
      </w:r>
      <w:proofErr w:type="spellStart"/>
      <w:r w:rsidR="00D63C50">
        <w:t>eg</w:t>
      </w:r>
      <w:proofErr w:type="spellEnd"/>
      <w:r w:rsidR="00D63C50">
        <w:t xml:space="preserve"> in the same street) </w:t>
      </w:r>
      <w:r>
        <w:t>is to be preferred over a comparable property located further away (</w:t>
      </w:r>
      <w:proofErr w:type="spellStart"/>
      <w:r w:rsidR="00D63C50">
        <w:t>eg</w:t>
      </w:r>
      <w:proofErr w:type="spellEnd"/>
      <w:r w:rsidR="00D63C50">
        <w:t xml:space="preserve"> in a neighbouring suburb). </w:t>
      </w:r>
      <w:r>
        <w:t xml:space="preserve"> </w:t>
      </w:r>
    </w:p>
    <w:bookmarkEnd w:id="1"/>
    <w:p w:rsidR="00914C90" w:rsidRDefault="00662B99" w:rsidP="0096417A">
      <w:pPr>
        <w:pStyle w:val="Numberlist"/>
      </w:pPr>
      <w:r w:rsidRPr="00AE2998">
        <w:rPr>
          <w:b/>
          <w:i/>
        </w:rPr>
        <w:t>Recently sold properties</w:t>
      </w:r>
      <w:r w:rsidR="00BE6B75">
        <w:t xml:space="preserve"> – The date of a comparable property </w:t>
      </w:r>
      <w:r w:rsidR="00682674">
        <w:t xml:space="preserve">sale </w:t>
      </w:r>
      <w:r w:rsidR="00BE6B75">
        <w:t>is an indication of the market conditions at the time th</w:t>
      </w:r>
      <w:r w:rsidR="006B3916">
        <w:t>at</w:t>
      </w:r>
      <w:r w:rsidR="00BE6B75">
        <w:t xml:space="preserve"> property </w:t>
      </w:r>
      <w:r w:rsidR="006B3916">
        <w:t xml:space="preserve">was </w:t>
      </w:r>
      <w:r w:rsidR="00BE6B75">
        <w:t>sold.</w:t>
      </w:r>
      <w:r w:rsidR="001626F3">
        <w:t xml:space="preserve"> Therefore,</w:t>
      </w:r>
      <w:r w:rsidR="006B3916">
        <w:t xml:space="preserve"> </w:t>
      </w:r>
      <w:r w:rsidR="001626F3">
        <w:t>the closer the date</w:t>
      </w:r>
      <w:r w:rsidR="00A225ED">
        <w:t>s</w:t>
      </w:r>
      <w:r w:rsidR="001626F3">
        <w:t xml:space="preserve"> of sale of your three comparable properties to the date </w:t>
      </w:r>
      <w:r w:rsidR="006B62D3">
        <w:t xml:space="preserve">you estimate the selling price </w:t>
      </w:r>
      <w:r w:rsidR="001626F3">
        <w:t>of the property</w:t>
      </w:r>
      <w:r w:rsidR="003D3EF4">
        <w:t>,</w:t>
      </w:r>
      <w:r w:rsidR="001626F3">
        <w:t xml:space="preserve"> the better </w:t>
      </w:r>
      <w:r w:rsidR="006B62D3">
        <w:t xml:space="preserve">your estimate </w:t>
      </w:r>
      <w:r w:rsidR="001626F3">
        <w:t>will reflect the current market conditions</w:t>
      </w:r>
      <w:r w:rsidR="001626F3">
        <w:rPr>
          <w:rFonts w:ascii="Open Sans" w:hAnsi="Open Sans" w:cs="Arial"/>
          <w:color w:val="444444"/>
          <w:lang w:val="en"/>
        </w:rPr>
        <w:t xml:space="preserve">. </w:t>
      </w:r>
      <w:r w:rsidR="001626F3" w:rsidRPr="001626F3">
        <w:t xml:space="preserve">The limits </w:t>
      </w:r>
      <w:r w:rsidR="001626F3">
        <w:t>for</w:t>
      </w:r>
      <w:r w:rsidR="001626F3" w:rsidRPr="001626F3">
        <w:t xml:space="preserve"> the timeframes you can </w:t>
      </w:r>
      <w:r w:rsidR="00A225ED">
        <w:t xml:space="preserve">consider </w:t>
      </w:r>
      <w:r w:rsidR="001626F3">
        <w:t xml:space="preserve">are </w:t>
      </w:r>
      <w:r w:rsidR="00AE2998">
        <w:t>specified in section 47</w:t>
      </w:r>
      <w:proofErr w:type="gramStart"/>
      <w:r w:rsidR="00AE2998">
        <w:t>AC(</w:t>
      </w:r>
      <w:proofErr w:type="gramEnd"/>
      <w:r w:rsidR="00AE2998">
        <w:t xml:space="preserve">1) of the Act </w:t>
      </w:r>
      <w:r w:rsidR="003D3EF4">
        <w:t xml:space="preserve">– that is, </w:t>
      </w:r>
      <w:r w:rsidR="00AE2998">
        <w:t xml:space="preserve">six months for comparable </w:t>
      </w:r>
      <w:r w:rsidR="001626F3">
        <w:t>properties</w:t>
      </w:r>
      <w:r w:rsidR="00AE2998">
        <w:t xml:space="preserve"> located within the Melbourne metropolitan area and </w:t>
      </w:r>
      <w:r w:rsidR="006B3916">
        <w:t>1</w:t>
      </w:r>
      <w:r w:rsidR="00AE2998">
        <w:t xml:space="preserve">8 months </w:t>
      </w:r>
      <w:r w:rsidR="00A225ED">
        <w:t xml:space="preserve">for </w:t>
      </w:r>
      <w:r w:rsidR="001626F3">
        <w:t>those</w:t>
      </w:r>
      <w:r w:rsidR="00AE2998">
        <w:t xml:space="preserve"> located outside that area</w:t>
      </w:r>
      <w:r w:rsidR="001626F3">
        <w:t>.</w:t>
      </w:r>
      <w:r w:rsidR="00AE2998">
        <w:t xml:space="preserve"> </w:t>
      </w:r>
    </w:p>
    <w:p w:rsidR="00914C90" w:rsidRPr="00AE2998" w:rsidRDefault="008D63FC" w:rsidP="0096417A">
      <w:pPr>
        <w:pStyle w:val="Numberlist"/>
      </w:pPr>
      <w:bookmarkStart w:id="3" w:name="_Hlk1570522"/>
      <w:r w:rsidRPr="00721D12">
        <w:rPr>
          <w:b/>
          <w:i/>
        </w:rPr>
        <w:t>Build status -</w:t>
      </w:r>
      <w:r>
        <w:rPr>
          <w:i/>
        </w:rPr>
        <w:t xml:space="preserve"> </w:t>
      </w:r>
      <w:r w:rsidR="00914C90" w:rsidRPr="00721D12">
        <w:t>You must consider</w:t>
      </w:r>
      <w:r>
        <w:t xml:space="preserve"> </w:t>
      </w:r>
      <w:r w:rsidR="00914C90" w:rsidRPr="007C6ECB">
        <w:t>wheth</w:t>
      </w:r>
      <w:r w:rsidRPr="007C6ECB">
        <w:t>er the</w:t>
      </w:r>
      <w:r>
        <w:t xml:space="preserve"> property for sale and potential comparable </w:t>
      </w:r>
      <w:r w:rsidRPr="008D63FC">
        <w:t>property are</w:t>
      </w:r>
      <w:r w:rsidRPr="00721D12">
        <w:t xml:space="preserve"> already built, under construction</w:t>
      </w:r>
      <w:r w:rsidRPr="008D63FC">
        <w:t xml:space="preserve"> or</w:t>
      </w:r>
      <w:r w:rsidRPr="00721D12">
        <w:t xml:space="preserve"> sold off-the-plan. </w:t>
      </w:r>
      <w:r>
        <w:t>Comparable properties of the same build status as the property for sale are to be preferred.</w:t>
      </w:r>
      <w:bookmarkEnd w:id="3"/>
    </w:p>
    <w:p w:rsidR="00945AC6" w:rsidRDefault="00945AC6" w:rsidP="00226550">
      <w:pPr>
        <w:pStyle w:val="BodyText"/>
      </w:pPr>
      <w:r>
        <w:t>Unless you reasonably believe that fewer than three comparable properties were sold</w:t>
      </w:r>
      <w:r w:rsidR="00226550">
        <w:t xml:space="preserve"> in the prescribed times and distances</w:t>
      </w:r>
      <w:r>
        <w:t xml:space="preserve">, </w:t>
      </w:r>
      <w:r w:rsidR="001F00DF">
        <w:t xml:space="preserve">you </w:t>
      </w:r>
      <w:r>
        <w:t>must</w:t>
      </w:r>
      <w:r w:rsidR="001F00DF">
        <w:t xml:space="preserve"> take into consideration the </w:t>
      </w:r>
      <w:r w:rsidR="001F3115">
        <w:t>factors set out in section 47</w:t>
      </w:r>
      <w:proofErr w:type="gramStart"/>
      <w:r>
        <w:t>A</w:t>
      </w:r>
      <w:r w:rsidR="001F3115">
        <w:t>C</w:t>
      </w:r>
      <w:r w:rsidR="008579C5">
        <w:t>(</w:t>
      </w:r>
      <w:proofErr w:type="gramEnd"/>
      <w:r w:rsidR="008579C5">
        <w:t xml:space="preserve">1), </w:t>
      </w:r>
      <w:r w:rsidR="001F3115">
        <w:t>(2</w:t>
      </w:r>
      <w:r w:rsidR="001F00DF">
        <w:t>)</w:t>
      </w:r>
      <w:r w:rsidR="008579C5">
        <w:t xml:space="preserve"> and (4)</w:t>
      </w:r>
      <w:r w:rsidR="001F00DF">
        <w:t xml:space="preserve"> of the Act and the matters detailed in these guidelines to select the three most comparable property sales</w:t>
      </w:r>
      <w:r>
        <w:t>.</w:t>
      </w:r>
    </w:p>
    <w:p w:rsidR="00385882" w:rsidRDefault="00945AC6" w:rsidP="005F477E">
      <w:pPr>
        <w:pStyle w:val="BodyText"/>
      </w:pPr>
      <w:r>
        <w:t xml:space="preserve">If you do not </w:t>
      </w:r>
      <w:r w:rsidR="00385882">
        <w:t>consider comparable property sales when it is appropriate to do so</w:t>
      </w:r>
      <w:r w:rsidR="006D78D7">
        <w:t>,</w:t>
      </w:r>
      <w:r w:rsidR="00385882">
        <w:t xml:space="preserve"> or</w:t>
      </w:r>
      <w:r w:rsidR="006D78D7">
        <w:t xml:space="preserve"> you do not </w:t>
      </w:r>
      <w:r w:rsidR="00385882">
        <w:t>consider the factors in the Act and these guidelines</w:t>
      </w:r>
      <w:r w:rsidR="006D78D7">
        <w:t>,</w:t>
      </w:r>
      <w:r w:rsidR="00385882">
        <w:t xml:space="preserve"> </w:t>
      </w:r>
      <w:r w:rsidR="001F00DF">
        <w:t>you will be in breach of section 47AB of the Act, which has a penalty of a f</w:t>
      </w:r>
      <w:r w:rsidR="00425E79">
        <w:t>ine of up to 200 penalty units</w:t>
      </w:r>
      <w:r w:rsidR="00AB2633">
        <w:t xml:space="preserve"> and forfeiture of commission</w:t>
      </w:r>
      <w:r w:rsidR="00425E79">
        <w:t>.</w:t>
      </w:r>
    </w:p>
    <w:p w:rsidR="005E3FB2" w:rsidRPr="0074059D" w:rsidRDefault="005E3FB2" w:rsidP="005F477E">
      <w:pPr>
        <w:pStyle w:val="BodyText"/>
      </w:pPr>
    </w:p>
    <w:sectPr w:rsidR="005E3FB2" w:rsidRPr="0074059D" w:rsidSect="0096417A">
      <w:footerReference w:type="default" r:id="rId8"/>
      <w:headerReference w:type="first" r:id="rId9"/>
      <w:footerReference w:type="first" r:id="rId10"/>
      <w:pgSz w:w="11900" w:h="16840"/>
      <w:pgMar w:top="709" w:right="1418" w:bottom="993" w:left="1418" w:header="709" w:footer="57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40F" w:rsidRDefault="009C440F" w:rsidP="001256E1">
      <w:r>
        <w:separator/>
      </w:r>
    </w:p>
  </w:endnote>
  <w:endnote w:type="continuationSeparator" w:id="0">
    <w:p w:rsidR="009C440F" w:rsidRDefault="009C440F" w:rsidP="0012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AC6" w:rsidRDefault="00C970A8" w:rsidP="00B91C81">
    <w:pPr>
      <w:pStyle w:val="Footer"/>
      <w:tabs>
        <w:tab w:val="clear" w:pos="4320"/>
      </w:tabs>
      <w:jc w:val="center"/>
    </w:pPr>
    <w:r w:rsidRPr="00C970A8">
      <w:t xml:space="preserve">Page </w:t>
    </w:r>
    <w:r w:rsidRPr="00C970A8">
      <w:fldChar w:fldCharType="begin"/>
    </w:r>
    <w:r w:rsidRPr="00C970A8">
      <w:instrText xml:space="preserve"> PAGE </w:instrText>
    </w:r>
    <w:r w:rsidRPr="00C970A8">
      <w:fldChar w:fldCharType="separate"/>
    </w:r>
    <w:r w:rsidR="00EB7CD8">
      <w:rPr>
        <w:noProof/>
      </w:rPr>
      <w:t>2</w:t>
    </w:r>
    <w:r w:rsidRPr="00C970A8">
      <w:fldChar w:fldCharType="end"/>
    </w:r>
    <w:r w:rsidRPr="00C970A8">
      <w:t xml:space="preserve"> of </w:t>
    </w:r>
    <w:r w:rsidR="004C5A2D">
      <w:rPr>
        <w:noProof/>
      </w:rPr>
      <w:fldChar w:fldCharType="begin"/>
    </w:r>
    <w:r w:rsidR="004C5A2D">
      <w:rPr>
        <w:noProof/>
      </w:rPr>
      <w:instrText xml:space="preserve"> NUMPAGES  </w:instrText>
    </w:r>
    <w:r w:rsidR="004C5A2D">
      <w:rPr>
        <w:noProof/>
      </w:rPr>
      <w:fldChar w:fldCharType="separate"/>
    </w:r>
    <w:r w:rsidR="00EB7CD8">
      <w:rPr>
        <w:noProof/>
      </w:rPr>
      <w:t>2</w:t>
    </w:r>
    <w:r w:rsidR="004C5A2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C81" w:rsidRDefault="009C440F" w:rsidP="00A45922">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Consumer Affairs Victoria" style="position:absolute;margin-left:319.55pt;margin-top:1.95pt;width:129.3pt;height:35.5pt;z-index:1">
          <v:imagedata r:id="rId1" o:title="CAV_Brandmark_BLACK 13mm high"/>
        </v:shape>
      </w:pict>
    </w:r>
    <w:r w:rsidR="00B91C81" w:rsidRPr="009C437F">
      <w:br/>
    </w:r>
    <w:r w:rsidR="00B91C81" w:rsidRPr="009C437F">
      <w:br/>
    </w:r>
    <w:hyperlink r:id="rId2" w:history="1">
      <w:r w:rsidR="00B91C81" w:rsidRPr="00C970A8">
        <w:rPr>
          <w:rStyle w:val="FooterURL"/>
        </w:rPr>
        <w:t>consumer.vic.gov.au</w:t>
      </w:r>
    </w:hyperlink>
    <w:r w:rsidR="00B91C81" w:rsidRPr="00C970A8">
      <w:tab/>
      <w:t xml:space="preserve">Page </w:t>
    </w:r>
    <w:r w:rsidR="00B91C81" w:rsidRPr="00C970A8">
      <w:fldChar w:fldCharType="begin"/>
    </w:r>
    <w:r w:rsidR="00B91C81" w:rsidRPr="00C970A8">
      <w:instrText xml:space="preserve"> PAGE </w:instrText>
    </w:r>
    <w:r w:rsidR="00B91C81" w:rsidRPr="00C970A8">
      <w:fldChar w:fldCharType="separate"/>
    </w:r>
    <w:r w:rsidR="00EB7CD8">
      <w:rPr>
        <w:noProof/>
      </w:rPr>
      <w:t>1</w:t>
    </w:r>
    <w:r w:rsidR="00B91C81" w:rsidRPr="00C970A8">
      <w:fldChar w:fldCharType="end"/>
    </w:r>
    <w:r w:rsidR="00B91C81" w:rsidRPr="00C970A8">
      <w:t xml:space="preserve"> of </w:t>
    </w:r>
    <w:r w:rsidR="004C5A2D">
      <w:rPr>
        <w:noProof/>
      </w:rPr>
      <w:fldChar w:fldCharType="begin"/>
    </w:r>
    <w:r w:rsidR="004C5A2D">
      <w:rPr>
        <w:noProof/>
      </w:rPr>
      <w:instrText xml:space="preserve"> NUMPAGES  </w:instrText>
    </w:r>
    <w:r w:rsidR="004C5A2D">
      <w:rPr>
        <w:noProof/>
      </w:rPr>
      <w:fldChar w:fldCharType="separate"/>
    </w:r>
    <w:r w:rsidR="00EB7CD8">
      <w:rPr>
        <w:noProof/>
      </w:rPr>
      <w:t>2</w:t>
    </w:r>
    <w:r w:rsidR="004C5A2D">
      <w:rPr>
        <w:noProof/>
      </w:rPr>
      <w:fldChar w:fldCharType="end"/>
    </w:r>
    <w:r w:rsidR="00A4592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40F" w:rsidRDefault="009C440F" w:rsidP="001256E1">
      <w:r>
        <w:separator/>
      </w:r>
    </w:p>
  </w:footnote>
  <w:footnote w:type="continuationSeparator" w:id="0">
    <w:p w:rsidR="009C440F" w:rsidRDefault="009C440F" w:rsidP="0012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A59" w:rsidRDefault="00BD3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C0E8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5084C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EA15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06A38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F30FE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932DC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C90F9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F2F6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F868B6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E051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0892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B057B"/>
    <w:multiLevelType w:val="hybridMultilevel"/>
    <w:tmpl w:val="23503322"/>
    <w:lvl w:ilvl="0" w:tplc="41107E28">
      <w:start w:val="1"/>
      <w:numFmt w:val="decimal"/>
      <w:pStyle w:val="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81219"/>
    <w:multiLevelType w:val="multilevel"/>
    <w:tmpl w:val="FD7040E8"/>
    <w:lvl w:ilvl="0">
      <w:start w:val="1"/>
      <w:numFmt w:val="bullet"/>
      <w:lvlText w:val=""/>
      <w:lvlJc w:val="left"/>
      <w:pPr>
        <w:tabs>
          <w:tab w:val="num" w:pos="6120"/>
        </w:tabs>
        <w:ind w:left="6120" w:hanging="360"/>
      </w:pPr>
      <w:rPr>
        <w:rFonts w:ascii="Symbol" w:hAnsi="Symbol" w:hint="default"/>
        <w:sz w:val="20"/>
      </w:rPr>
    </w:lvl>
    <w:lvl w:ilvl="1" w:tentative="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13" w15:restartNumberingAfterBreak="0">
    <w:nsid w:val="2BF8121A"/>
    <w:multiLevelType w:val="hybridMultilevel"/>
    <w:tmpl w:val="204C61E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21D4BEA"/>
    <w:multiLevelType w:val="multilevel"/>
    <w:tmpl w:val="E42E7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D67D21"/>
    <w:multiLevelType w:val="hybridMultilevel"/>
    <w:tmpl w:val="8898A86A"/>
    <w:lvl w:ilvl="0" w:tplc="DA06AFEA">
      <w:start w:val="1"/>
      <w:numFmt w:val="bullet"/>
      <w:pStyle w:val="ListA"/>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5846D2DE">
      <w:start w:val="4"/>
      <w:numFmt w:val="bullet"/>
      <w:lvlText w:val="-"/>
      <w:lvlJc w:val="left"/>
      <w:pPr>
        <w:ind w:left="1800" w:hanging="360"/>
      </w:pPr>
      <w:rPr>
        <w:rFonts w:ascii="Arial" w:eastAsia="MS Mincho"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3541AB"/>
    <w:multiLevelType w:val="hybridMultilevel"/>
    <w:tmpl w:val="00565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0A2A11"/>
    <w:multiLevelType w:val="hybridMultilevel"/>
    <w:tmpl w:val="0E7AA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D8386F"/>
    <w:multiLevelType w:val="hybridMultilevel"/>
    <w:tmpl w:val="BF687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11"/>
  </w:num>
  <w:num w:numId="5">
    <w:abstractNumId w:val="11"/>
  </w:num>
  <w:num w:numId="6">
    <w:abstractNumId w:val="12"/>
  </w:num>
  <w:num w:numId="7">
    <w:abstractNumId w:val="15"/>
  </w:num>
  <w:num w:numId="8">
    <w:abstractNumId w:val="0"/>
  </w:num>
  <w:num w:numId="9">
    <w:abstractNumId w:val="13"/>
  </w:num>
  <w:num w:numId="10">
    <w:abstractNumId w:val="11"/>
  </w:num>
  <w:num w:numId="11">
    <w:abstractNumId w:val="18"/>
  </w:num>
  <w:num w:numId="12">
    <w:abstractNumId w:val="16"/>
  </w:num>
  <w:num w:numId="13">
    <w:abstractNumId w:val="17"/>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5"/>
  </w:num>
  <w:num w:numId="25">
    <w:abstractNumId w:val="1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81"/>
  <w:drawingGridVerticalSpacing w:val="18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6CA"/>
    <w:rsid w:val="00001863"/>
    <w:rsid w:val="0000784C"/>
    <w:rsid w:val="00011843"/>
    <w:rsid w:val="0003437D"/>
    <w:rsid w:val="000415A5"/>
    <w:rsid w:val="000540B5"/>
    <w:rsid w:val="00071B03"/>
    <w:rsid w:val="00072FA2"/>
    <w:rsid w:val="0008655F"/>
    <w:rsid w:val="000A1C3D"/>
    <w:rsid w:val="000A4134"/>
    <w:rsid w:val="000D3C82"/>
    <w:rsid w:val="00104736"/>
    <w:rsid w:val="00106449"/>
    <w:rsid w:val="001156AA"/>
    <w:rsid w:val="001256E1"/>
    <w:rsid w:val="00150120"/>
    <w:rsid w:val="0015293C"/>
    <w:rsid w:val="00153465"/>
    <w:rsid w:val="001626F3"/>
    <w:rsid w:val="00176ECE"/>
    <w:rsid w:val="0018571F"/>
    <w:rsid w:val="001926CF"/>
    <w:rsid w:val="00197A23"/>
    <w:rsid w:val="001A0C17"/>
    <w:rsid w:val="001A5437"/>
    <w:rsid w:val="001B4E33"/>
    <w:rsid w:val="001B78A1"/>
    <w:rsid w:val="001E5F65"/>
    <w:rsid w:val="001F00DF"/>
    <w:rsid w:val="001F3115"/>
    <w:rsid w:val="00205F67"/>
    <w:rsid w:val="0022313E"/>
    <w:rsid w:val="00226550"/>
    <w:rsid w:val="002377D7"/>
    <w:rsid w:val="00243825"/>
    <w:rsid w:val="0026120E"/>
    <w:rsid w:val="00274A69"/>
    <w:rsid w:val="0027572C"/>
    <w:rsid w:val="002766B8"/>
    <w:rsid w:val="00282314"/>
    <w:rsid w:val="00294BA3"/>
    <w:rsid w:val="002A422E"/>
    <w:rsid w:val="002C3B42"/>
    <w:rsid w:val="00303714"/>
    <w:rsid w:val="0030409E"/>
    <w:rsid w:val="00315441"/>
    <w:rsid w:val="00340EE7"/>
    <w:rsid w:val="003629C2"/>
    <w:rsid w:val="00370C52"/>
    <w:rsid w:val="00374B5E"/>
    <w:rsid w:val="00385882"/>
    <w:rsid w:val="00390CC2"/>
    <w:rsid w:val="0039260A"/>
    <w:rsid w:val="003D3EF4"/>
    <w:rsid w:val="003E59CC"/>
    <w:rsid w:val="003E6A45"/>
    <w:rsid w:val="003F4BAB"/>
    <w:rsid w:val="004154AD"/>
    <w:rsid w:val="00425E79"/>
    <w:rsid w:val="00435521"/>
    <w:rsid w:val="0049377B"/>
    <w:rsid w:val="004C5A2D"/>
    <w:rsid w:val="004F0049"/>
    <w:rsid w:val="004F1950"/>
    <w:rsid w:val="0050254A"/>
    <w:rsid w:val="00526E3D"/>
    <w:rsid w:val="00544F4A"/>
    <w:rsid w:val="00554055"/>
    <w:rsid w:val="00560599"/>
    <w:rsid w:val="005672B8"/>
    <w:rsid w:val="00571904"/>
    <w:rsid w:val="00573E76"/>
    <w:rsid w:val="00580AD8"/>
    <w:rsid w:val="005826AD"/>
    <w:rsid w:val="005943C3"/>
    <w:rsid w:val="005A0D72"/>
    <w:rsid w:val="005C0A16"/>
    <w:rsid w:val="005C2E21"/>
    <w:rsid w:val="005C743B"/>
    <w:rsid w:val="005E2A87"/>
    <w:rsid w:val="005E3FB2"/>
    <w:rsid w:val="005F477E"/>
    <w:rsid w:val="00602A74"/>
    <w:rsid w:val="00607AF3"/>
    <w:rsid w:val="0062684F"/>
    <w:rsid w:val="0062702F"/>
    <w:rsid w:val="00650D3E"/>
    <w:rsid w:val="0065332F"/>
    <w:rsid w:val="006613FE"/>
    <w:rsid w:val="00662B99"/>
    <w:rsid w:val="00682674"/>
    <w:rsid w:val="006835A0"/>
    <w:rsid w:val="00692250"/>
    <w:rsid w:val="006942DF"/>
    <w:rsid w:val="006A50E3"/>
    <w:rsid w:val="006B1F75"/>
    <w:rsid w:val="006B2139"/>
    <w:rsid w:val="006B3916"/>
    <w:rsid w:val="006B3C4B"/>
    <w:rsid w:val="006B62D3"/>
    <w:rsid w:val="006C18AB"/>
    <w:rsid w:val="006D0C85"/>
    <w:rsid w:val="006D78D7"/>
    <w:rsid w:val="00703F89"/>
    <w:rsid w:val="00707CBB"/>
    <w:rsid w:val="00710815"/>
    <w:rsid w:val="00713DB1"/>
    <w:rsid w:val="00721D12"/>
    <w:rsid w:val="007352DE"/>
    <w:rsid w:val="0074059D"/>
    <w:rsid w:val="00751AE9"/>
    <w:rsid w:val="007607A0"/>
    <w:rsid w:val="0076148B"/>
    <w:rsid w:val="00761929"/>
    <w:rsid w:val="00773A2C"/>
    <w:rsid w:val="0077716B"/>
    <w:rsid w:val="007905F6"/>
    <w:rsid w:val="007B417F"/>
    <w:rsid w:val="007B7A0C"/>
    <w:rsid w:val="007C6ECB"/>
    <w:rsid w:val="007D4F61"/>
    <w:rsid w:val="007E09A1"/>
    <w:rsid w:val="007E0B58"/>
    <w:rsid w:val="007E216A"/>
    <w:rsid w:val="007F43CD"/>
    <w:rsid w:val="00814C9D"/>
    <w:rsid w:val="00817A84"/>
    <w:rsid w:val="008579C5"/>
    <w:rsid w:val="00882850"/>
    <w:rsid w:val="00882EA8"/>
    <w:rsid w:val="008B3192"/>
    <w:rsid w:val="008B78EA"/>
    <w:rsid w:val="008D63FC"/>
    <w:rsid w:val="008D68F9"/>
    <w:rsid w:val="009128CB"/>
    <w:rsid w:val="009134BD"/>
    <w:rsid w:val="00914C90"/>
    <w:rsid w:val="00933E8D"/>
    <w:rsid w:val="00945AC6"/>
    <w:rsid w:val="00946739"/>
    <w:rsid w:val="009626CA"/>
    <w:rsid w:val="00962A5A"/>
    <w:rsid w:val="0096417A"/>
    <w:rsid w:val="00983565"/>
    <w:rsid w:val="00990628"/>
    <w:rsid w:val="00991180"/>
    <w:rsid w:val="0099202F"/>
    <w:rsid w:val="009B299E"/>
    <w:rsid w:val="009C440F"/>
    <w:rsid w:val="009D6BE2"/>
    <w:rsid w:val="00A225ED"/>
    <w:rsid w:val="00A45922"/>
    <w:rsid w:val="00AB0E9A"/>
    <w:rsid w:val="00AB2633"/>
    <w:rsid w:val="00AC5011"/>
    <w:rsid w:val="00AE2998"/>
    <w:rsid w:val="00AE3827"/>
    <w:rsid w:val="00B03FBF"/>
    <w:rsid w:val="00B06526"/>
    <w:rsid w:val="00B12F15"/>
    <w:rsid w:val="00B143CF"/>
    <w:rsid w:val="00B35989"/>
    <w:rsid w:val="00B47D58"/>
    <w:rsid w:val="00B91C81"/>
    <w:rsid w:val="00B97D7E"/>
    <w:rsid w:val="00BC074B"/>
    <w:rsid w:val="00BC26C8"/>
    <w:rsid w:val="00BD38D0"/>
    <w:rsid w:val="00BD3A59"/>
    <w:rsid w:val="00BD58C0"/>
    <w:rsid w:val="00BD7A6D"/>
    <w:rsid w:val="00BE015E"/>
    <w:rsid w:val="00BE07A9"/>
    <w:rsid w:val="00BE6B75"/>
    <w:rsid w:val="00C010E7"/>
    <w:rsid w:val="00C636D2"/>
    <w:rsid w:val="00C65E9D"/>
    <w:rsid w:val="00C91225"/>
    <w:rsid w:val="00C94AF2"/>
    <w:rsid w:val="00C970A8"/>
    <w:rsid w:val="00CB218C"/>
    <w:rsid w:val="00CB5C18"/>
    <w:rsid w:val="00CD36F9"/>
    <w:rsid w:val="00D41D79"/>
    <w:rsid w:val="00D43AB5"/>
    <w:rsid w:val="00D43EC7"/>
    <w:rsid w:val="00D4417E"/>
    <w:rsid w:val="00D50FC0"/>
    <w:rsid w:val="00D639BD"/>
    <w:rsid w:val="00D63C50"/>
    <w:rsid w:val="00DA290A"/>
    <w:rsid w:val="00DB4DD1"/>
    <w:rsid w:val="00DD5839"/>
    <w:rsid w:val="00DF25F1"/>
    <w:rsid w:val="00E03188"/>
    <w:rsid w:val="00E13C1C"/>
    <w:rsid w:val="00E17003"/>
    <w:rsid w:val="00E54A9F"/>
    <w:rsid w:val="00E73B9A"/>
    <w:rsid w:val="00E7517A"/>
    <w:rsid w:val="00E95BA3"/>
    <w:rsid w:val="00EA7925"/>
    <w:rsid w:val="00EB7CD8"/>
    <w:rsid w:val="00EC1835"/>
    <w:rsid w:val="00F10D5F"/>
    <w:rsid w:val="00F21973"/>
    <w:rsid w:val="00F44D93"/>
    <w:rsid w:val="00F6258B"/>
    <w:rsid w:val="00F84F9A"/>
    <w:rsid w:val="00FA6A7E"/>
    <w:rsid w:val="00FB76F3"/>
    <w:rsid w:val="00FC6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F8E20928-9FDD-49CE-8A90-02A81851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aring 1"/>
    <w:qFormat/>
    <w:rsid w:val="008D68F9"/>
    <w:rPr>
      <w:rFonts w:ascii="Calibri" w:hAnsi="Calibri"/>
      <w:sz w:val="28"/>
      <w:szCs w:val="24"/>
      <w:lang w:eastAsia="en-US"/>
    </w:rPr>
  </w:style>
  <w:style w:type="paragraph" w:styleId="Heading1">
    <w:name w:val="heading 1"/>
    <w:basedOn w:val="Normal"/>
    <w:next w:val="Normal"/>
    <w:link w:val="Heading1Char"/>
    <w:uiPriority w:val="9"/>
    <w:qFormat/>
    <w:rsid w:val="00C970A8"/>
    <w:pPr>
      <w:spacing w:after="240"/>
      <w:outlineLvl w:val="0"/>
    </w:pPr>
    <w:rPr>
      <w:rFonts w:ascii="Arial" w:eastAsia="Times New Roman" w:hAnsi="Arial" w:cs="Arial"/>
      <w:b/>
      <w:sz w:val="40"/>
      <w:szCs w:val="44"/>
      <w:lang w:eastAsia="en-AU"/>
    </w:rPr>
  </w:style>
  <w:style w:type="paragraph" w:styleId="Heading2">
    <w:name w:val="heading 2"/>
    <w:basedOn w:val="HeadingB"/>
    <w:next w:val="Normal"/>
    <w:link w:val="Heading2Char"/>
    <w:uiPriority w:val="9"/>
    <w:unhideWhenUsed/>
    <w:qFormat/>
    <w:rsid w:val="00C970A8"/>
    <w:pPr>
      <w:spacing w:before="480"/>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011"/>
    <w:rPr>
      <w:rFonts w:ascii="Lucida Grande" w:hAnsi="Lucida Grande" w:cs="Lucida Grande"/>
      <w:sz w:val="18"/>
      <w:szCs w:val="18"/>
    </w:rPr>
  </w:style>
  <w:style w:type="character" w:customStyle="1" w:styleId="BalloonTextChar">
    <w:name w:val="Balloon Text Char"/>
    <w:link w:val="BalloonText"/>
    <w:uiPriority w:val="99"/>
    <w:semiHidden/>
    <w:rsid w:val="00AC5011"/>
    <w:rPr>
      <w:rFonts w:ascii="Lucida Grande" w:hAnsi="Lucida Grande" w:cs="Lucida Grande"/>
      <w:sz w:val="18"/>
      <w:szCs w:val="18"/>
    </w:rPr>
  </w:style>
  <w:style w:type="paragraph" w:customStyle="1" w:styleId="HeadingA">
    <w:name w:val="Heading A"/>
    <w:basedOn w:val="Normal"/>
    <w:qFormat/>
    <w:rsid w:val="00315441"/>
    <w:rPr>
      <w:b/>
      <w:szCs w:val="22"/>
    </w:rPr>
  </w:style>
  <w:style w:type="paragraph" w:customStyle="1" w:styleId="HeadingB">
    <w:name w:val="Heading B"/>
    <w:basedOn w:val="Normal"/>
    <w:qFormat/>
    <w:rsid w:val="00176ECE"/>
    <w:pPr>
      <w:spacing w:before="240"/>
    </w:pPr>
    <w:rPr>
      <w:b/>
      <w:sz w:val="24"/>
      <w:szCs w:val="22"/>
    </w:rPr>
  </w:style>
  <w:style w:type="paragraph" w:customStyle="1" w:styleId="ListA">
    <w:name w:val="List A"/>
    <w:basedOn w:val="Normal"/>
    <w:qFormat/>
    <w:rsid w:val="00176ECE"/>
    <w:pPr>
      <w:numPr>
        <w:numId w:val="1"/>
      </w:numPr>
      <w:spacing w:before="60"/>
    </w:pPr>
    <w:rPr>
      <w:sz w:val="22"/>
      <w:szCs w:val="22"/>
    </w:rPr>
  </w:style>
  <w:style w:type="paragraph" w:customStyle="1" w:styleId="Bodystyle">
    <w:name w:val="Body style"/>
    <w:basedOn w:val="Normal"/>
    <w:qFormat/>
    <w:rsid w:val="00C970A8"/>
    <w:pPr>
      <w:spacing w:before="120"/>
    </w:pPr>
    <w:rPr>
      <w:rFonts w:ascii="Arial" w:hAnsi="Arial"/>
      <w:sz w:val="22"/>
      <w:szCs w:val="22"/>
    </w:rPr>
  </w:style>
  <w:style w:type="paragraph" w:customStyle="1" w:styleId="Numberlist">
    <w:name w:val="Number list"/>
    <w:basedOn w:val="Bodystyle"/>
    <w:rsid w:val="00282314"/>
    <w:pPr>
      <w:numPr>
        <w:numId w:val="2"/>
      </w:numPr>
    </w:pPr>
  </w:style>
  <w:style w:type="paragraph" w:styleId="Header">
    <w:name w:val="header"/>
    <w:basedOn w:val="Normal"/>
    <w:link w:val="HeaderChar"/>
    <w:uiPriority w:val="99"/>
    <w:unhideWhenUsed/>
    <w:rsid w:val="001256E1"/>
    <w:pPr>
      <w:tabs>
        <w:tab w:val="center" w:pos="4320"/>
        <w:tab w:val="right" w:pos="8640"/>
      </w:tabs>
    </w:pPr>
  </w:style>
  <w:style w:type="character" w:customStyle="1" w:styleId="HeaderChar">
    <w:name w:val="Header Char"/>
    <w:link w:val="Header"/>
    <w:uiPriority w:val="99"/>
    <w:rsid w:val="001256E1"/>
    <w:rPr>
      <w:rFonts w:ascii="Calibri" w:hAnsi="Calibri"/>
      <w:sz w:val="28"/>
      <w:szCs w:val="24"/>
    </w:rPr>
  </w:style>
  <w:style w:type="paragraph" w:styleId="Footer">
    <w:name w:val="footer"/>
    <w:basedOn w:val="Normal"/>
    <w:link w:val="FooterChar"/>
    <w:uiPriority w:val="99"/>
    <w:unhideWhenUsed/>
    <w:rsid w:val="00C970A8"/>
    <w:pPr>
      <w:tabs>
        <w:tab w:val="center" w:pos="4320"/>
        <w:tab w:val="right" w:pos="8640"/>
      </w:tabs>
    </w:pPr>
    <w:rPr>
      <w:rFonts w:ascii="Arial" w:hAnsi="Arial"/>
      <w:sz w:val="22"/>
      <w:szCs w:val="22"/>
    </w:rPr>
  </w:style>
  <w:style w:type="character" w:customStyle="1" w:styleId="FooterChar">
    <w:name w:val="Footer Char"/>
    <w:link w:val="Footer"/>
    <w:uiPriority w:val="99"/>
    <w:rsid w:val="00C970A8"/>
    <w:rPr>
      <w:sz w:val="22"/>
      <w:szCs w:val="22"/>
      <w:lang w:eastAsia="en-US"/>
    </w:rPr>
  </w:style>
  <w:style w:type="character" w:customStyle="1" w:styleId="FooterURL">
    <w:name w:val="Footer URL"/>
    <w:rsid w:val="00C970A8"/>
  </w:style>
  <w:style w:type="character" w:styleId="CommentReference">
    <w:name w:val="annotation reference"/>
    <w:uiPriority w:val="99"/>
    <w:semiHidden/>
    <w:unhideWhenUsed/>
    <w:rsid w:val="007E216A"/>
    <w:rPr>
      <w:sz w:val="16"/>
      <w:szCs w:val="16"/>
    </w:rPr>
  </w:style>
  <w:style w:type="paragraph" w:styleId="CommentText">
    <w:name w:val="annotation text"/>
    <w:basedOn w:val="Normal"/>
    <w:link w:val="CommentTextChar"/>
    <w:uiPriority w:val="99"/>
    <w:semiHidden/>
    <w:unhideWhenUsed/>
    <w:rsid w:val="007E216A"/>
    <w:rPr>
      <w:sz w:val="20"/>
      <w:szCs w:val="20"/>
    </w:rPr>
  </w:style>
  <w:style w:type="character" w:customStyle="1" w:styleId="CommentTextChar">
    <w:name w:val="Comment Text Char"/>
    <w:link w:val="CommentText"/>
    <w:uiPriority w:val="99"/>
    <w:semiHidden/>
    <w:rsid w:val="007E216A"/>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7E216A"/>
    <w:rPr>
      <w:b/>
      <w:bCs/>
    </w:rPr>
  </w:style>
  <w:style w:type="character" w:customStyle="1" w:styleId="CommentSubjectChar">
    <w:name w:val="Comment Subject Char"/>
    <w:link w:val="CommentSubject"/>
    <w:uiPriority w:val="99"/>
    <w:semiHidden/>
    <w:rsid w:val="007E216A"/>
    <w:rPr>
      <w:rFonts w:ascii="Calibri" w:hAnsi="Calibri"/>
      <w:b/>
      <w:bCs/>
      <w:lang w:eastAsia="en-US"/>
    </w:rPr>
  </w:style>
  <w:style w:type="character" w:customStyle="1" w:styleId="Heading1Char">
    <w:name w:val="Heading 1 Char"/>
    <w:link w:val="Heading1"/>
    <w:uiPriority w:val="9"/>
    <w:rsid w:val="00C970A8"/>
    <w:rPr>
      <w:rFonts w:ascii="Arial" w:eastAsia="Times New Roman" w:hAnsi="Arial" w:cs="Arial"/>
      <w:b/>
      <w:sz w:val="40"/>
      <w:szCs w:val="44"/>
    </w:rPr>
  </w:style>
  <w:style w:type="character" w:customStyle="1" w:styleId="Heading2Char">
    <w:name w:val="Heading 2 Char"/>
    <w:link w:val="Heading2"/>
    <w:uiPriority w:val="9"/>
    <w:rsid w:val="00C970A8"/>
    <w:rPr>
      <w:rFonts w:ascii="Arial" w:hAnsi="Arial" w:cs="Arial"/>
      <w:b/>
      <w:sz w:val="24"/>
      <w:szCs w:val="22"/>
      <w:lang w:eastAsia="en-US"/>
    </w:rPr>
  </w:style>
  <w:style w:type="paragraph" w:styleId="ListBullet">
    <w:name w:val="List Bullet"/>
    <w:basedOn w:val="ListA"/>
    <w:uiPriority w:val="99"/>
    <w:unhideWhenUsed/>
    <w:rsid w:val="00C970A8"/>
    <w:rPr>
      <w:rFonts w:ascii="Arial" w:hAnsi="Arial" w:cs="Arial"/>
    </w:rPr>
  </w:style>
  <w:style w:type="character" w:styleId="Hyperlink">
    <w:name w:val="Hyperlink"/>
    <w:uiPriority w:val="99"/>
    <w:unhideWhenUsed/>
    <w:rsid w:val="00C970A8"/>
    <w:rPr>
      <w:color w:val="0563C1"/>
      <w:u w:val="single"/>
    </w:rPr>
  </w:style>
  <w:style w:type="paragraph" w:styleId="BodyText">
    <w:name w:val="Body Text"/>
    <w:basedOn w:val="Bodystyle"/>
    <w:link w:val="BodyTextChar"/>
    <w:uiPriority w:val="99"/>
    <w:unhideWhenUsed/>
    <w:rsid w:val="005F477E"/>
  </w:style>
  <w:style w:type="character" w:customStyle="1" w:styleId="BodyTextChar">
    <w:name w:val="Body Text Char"/>
    <w:link w:val="BodyText"/>
    <w:uiPriority w:val="99"/>
    <w:rsid w:val="005F477E"/>
    <w:rPr>
      <w:sz w:val="22"/>
      <w:szCs w:val="22"/>
      <w:lang w:eastAsia="en-US"/>
    </w:rPr>
  </w:style>
  <w:style w:type="paragraph" w:styleId="ListParagraph">
    <w:name w:val="List Paragraph"/>
    <w:basedOn w:val="Normal"/>
    <w:uiPriority w:val="34"/>
    <w:qFormat/>
    <w:rsid w:val="008D63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0225-B5E0-4835-B8D2-415A60B7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1099</Words>
  <Characters>5332</Characters>
  <Application>Microsoft Office Word</Application>
  <DocSecurity>0</DocSecurity>
  <Lines>761</Lines>
  <Paragraphs>584</Paragraphs>
  <ScaleCrop>false</ScaleCrop>
  <HeadingPairs>
    <vt:vector size="2" baseType="variant">
      <vt:variant>
        <vt:lpstr>Title</vt:lpstr>
      </vt:variant>
      <vt:variant>
        <vt:i4>1</vt:i4>
      </vt:variant>
    </vt:vector>
  </HeadingPairs>
  <TitlesOfParts>
    <vt:vector size="1" baseType="lpstr">
      <vt:lpstr>Guidelines for selecting comparable property sales – residential property</vt:lpstr>
    </vt:vector>
  </TitlesOfParts>
  <Company>Victorian Government-Justice</Company>
  <LinksUpToDate>false</LinksUpToDate>
  <CharactersWithSpaces>5847</CharactersWithSpaces>
  <SharedDoc>false</SharedDoc>
  <HLinks>
    <vt:vector size="6" baseType="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selecting comparable property sales – residential property</dc:title>
  <dc:subject/>
  <dc:creator>Consumer Affairs Victoria</dc:creator>
  <cp:keywords>Estate agents, underquoting</cp:keywords>
  <dc:description/>
  <cp:lastModifiedBy>Angus Duncan (DJCS)</cp:lastModifiedBy>
  <cp:revision>4</cp:revision>
  <cp:lastPrinted>2019-07-12T05:11:00Z</cp:lastPrinted>
  <dcterms:created xsi:type="dcterms:W3CDTF">2019-07-12T01:55:00Z</dcterms:created>
  <dcterms:modified xsi:type="dcterms:W3CDTF">2019-07-25T02:24:00Z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CD/17/150904*</vt:lpwstr>
  </property>
  <property fmtid="{D5CDD505-2E9C-101B-9397-08002B2CF9AE}" pid="3" name="TRIM_DateDue">
    <vt:lpwstr> </vt:lpwstr>
  </property>
  <property fmtid="{D5CDD505-2E9C-101B-9397-08002B2CF9AE}" pid="4" name="TRIM_Author">
    <vt:lpwstr>TAM, Halina</vt:lpwstr>
  </property>
  <property fmtid="{D5CDD505-2E9C-101B-9397-08002B2CF9AE}" pid="5" name="TRIM_Container">
    <vt:lpwstr>DG/17/11101</vt:lpwstr>
  </property>
  <property fmtid="{D5CDD505-2E9C-101B-9397-08002B2CF9AE}" pid="6" name="TRIM_Creator">
    <vt:lpwstr>TAM, Halina</vt:lpwstr>
  </property>
  <property fmtid="{D5CDD505-2E9C-101B-9397-08002B2CF9AE}" pid="7" name="TRIM_DateRegistered">
    <vt:lpwstr>23 March, 2017</vt:lpwstr>
  </property>
  <property fmtid="{D5CDD505-2E9C-101B-9397-08002B2CF9AE}" pid="8" name="TRIM_OwnerLocation">
    <vt:lpwstr>Information Services Division (CAV)</vt:lpwstr>
  </property>
  <property fmtid="{D5CDD505-2E9C-101B-9397-08002B2CF9AE}" pid="9" name="TRIM_ResponsibleOfficer">
    <vt:lpwstr> </vt:lpwstr>
  </property>
  <property fmtid="{D5CDD505-2E9C-101B-9397-08002B2CF9AE}" pid="10" name="TRIM_Title">
    <vt:lpwstr>Form - FINAL - Accessible - Master form - Guidelines for selecting comparable property sales - residential property</vt:lpwstr>
  </property>
</Properties>
</file>