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4FA1" w14:textId="163273BA" w:rsidR="00C90E80" w:rsidRPr="00934136" w:rsidRDefault="00C90E80" w:rsidP="00E15E1B">
      <w:pPr>
        <w:pStyle w:val="Heading1"/>
        <w:spacing w:before="4400" w:after="8400"/>
      </w:pPr>
      <w:r w:rsidRPr="00934136">
        <w:t>Annual</w:t>
      </w:r>
      <w:r w:rsidR="00B556A3" w:rsidRPr="00934136">
        <w:t xml:space="preserve"> </w:t>
      </w:r>
      <w:r w:rsidRPr="00934136">
        <w:t>Report</w:t>
      </w:r>
      <w:r w:rsidR="00B556A3" w:rsidRPr="00934136">
        <w:t xml:space="preserve"> </w:t>
      </w:r>
      <w:r w:rsidRPr="00934136">
        <w:t>20</w:t>
      </w:r>
      <w:r w:rsidR="00DE3B0D" w:rsidRPr="00934136">
        <w:t>2</w:t>
      </w:r>
      <w:r w:rsidR="00B556A3" w:rsidRPr="00934136">
        <w:t>3</w:t>
      </w:r>
      <w:r w:rsidR="00A66C4F" w:rsidRPr="00934136">
        <w:t>–2</w:t>
      </w:r>
      <w:r w:rsidR="00B556A3" w:rsidRPr="00934136">
        <w:t>4</w:t>
      </w:r>
    </w:p>
    <w:p w14:paraId="1564C41C" w14:textId="77777777" w:rsidR="00062049" w:rsidRPr="00934136" w:rsidRDefault="002D316F" w:rsidP="00FF30B8">
      <w:pPr>
        <w:pStyle w:val="BodyText"/>
        <w:jc w:val="right"/>
      </w:pPr>
      <w:r w:rsidRPr="00934136">
        <w:rPr>
          <w:noProof/>
          <w:lang w:eastAsia="en-AU"/>
        </w:rPr>
        <w:drawing>
          <wp:inline distT="0" distB="0" distL="0" distR="0" wp14:anchorId="0DE8F0AD" wp14:editId="15A39AE9">
            <wp:extent cx="1889157" cy="525145"/>
            <wp:effectExtent l="0" t="0" r="0" b="825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89157" cy="525145"/>
                    </a:xfrm>
                    <a:prstGeom prst="rect">
                      <a:avLst/>
                    </a:prstGeom>
                    <a:noFill/>
                    <a:ln>
                      <a:noFill/>
                    </a:ln>
                  </pic:spPr>
                </pic:pic>
              </a:graphicData>
            </a:graphic>
          </wp:inline>
        </w:drawing>
      </w:r>
    </w:p>
    <w:p w14:paraId="7F0B3FD9" w14:textId="77777777" w:rsidR="008E1660" w:rsidRPr="00934136" w:rsidRDefault="008E1660" w:rsidP="00EB6E61">
      <w:pPr>
        <w:pStyle w:val="TOCHeading"/>
      </w:pPr>
      <w:r w:rsidRPr="00934136">
        <w:lastRenderedPageBreak/>
        <w:t>Contents</w:t>
      </w:r>
    </w:p>
    <w:p w14:paraId="7BDF3873" w14:textId="037EED42" w:rsidR="00EB6E61" w:rsidRDefault="009569B2">
      <w:pPr>
        <w:pStyle w:val="TOC1"/>
        <w:rPr>
          <w:rFonts w:asciiTheme="minorHAnsi" w:eastAsiaTheme="minorEastAsia" w:hAnsiTheme="minorHAnsi" w:cstheme="minorBidi"/>
          <w:b w:val="0"/>
          <w:noProof/>
          <w:kern w:val="2"/>
          <w:sz w:val="24"/>
          <w:szCs w:val="24"/>
          <w:lang w:eastAsia="en-AU"/>
          <w14:ligatures w14:val="standardContextual"/>
        </w:rPr>
      </w:pPr>
      <w:r w:rsidRPr="00934136">
        <w:fldChar w:fldCharType="begin"/>
      </w:r>
      <w:r w:rsidRPr="00934136">
        <w:instrText xml:space="preserve"> TOC \h \z \u \t "Heading 2,1,Heading 3,2" </w:instrText>
      </w:r>
      <w:r w:rsidRPr="00934136">
        <w:fldChar w:fldCharType="separate"/>
      </w:r>
      <w:hyperlink w:anchor="_Toc181015726" w:history="1">
        <w:r w:rsidR="00EB6E61" w:rsidRPr="004A2B92">
          <w:rPr>
            <w:rStyle w:val="Hyperlink"/>
            <w:noProof/>
          </w:rPr>
          <w:t>Letter to the Minister</w:t>
        </w:r>
        <w:r w:rsidR="00EB6E61">
          <w:rPr>
            <w:noProof/>
            <w:webHidden/>
          </w:rPr>
          <w:tab/>
        </w:r>
        <w:r w:rsidR="00EB6E61">
          <w:rPr>
            <w:noProof/>
            <w:webHidden/>
          </w:rPr>
          <w:fldChar w:fldCharType="begin"/>
        </w:r>
        <w:r w:rsidR="00EB6E61">
          <w:rPr>
            <w:noProof/>
            <w:webHidden/>
          </w:rPr>
          <w:instrText xml:space="preserve"> PAGEREF _Toc181015726 \h </w:instrText>
        </w:r>
        <w:r w:rsidR="00EB6E61">
          <w:rPr>
            <w:noProof/>
            <w:webHidden/>
          </w:rPr>
        </w:r>
        <w:r w:rsidR="00EB6E61">
          <w:rPr>
            <w:noProof/>
            <w:webHidden/>
          </w:rPr>
          <w:fldChar w:fldCharType="separate"/>
        </w:r>
        <w:r w:rsidR="00EB6E61">
          <w:rPr>
            <w:noProof/>
            <w:webHidden/>
          </w:rPr>
          <w:t>3</w:t>
        </w:r>
        <w:r w:rsidR="00EB6E61">
          <w:rPr>
            <w:noProof/>
            <w:webHidden/>
          </w:rPr>
          <w:fldChar w:fldCharType="end"/>
        </w:r>
      </w:hyperlink>
    </w:p>
    <w:p w14:paraId="3D857F26" w14:textId="58530D5D" w:rsidR="00EB6E61" w:rsidRDefault="006C5DC0">
      <w:pPr>
        <w:pStyle w:val="TOC1"/>
        <w:rPr>
          <w:rFonts w:asciiTheme="minorHAnsi" w:eastAsiaTheme="minorEastAsia" w:hAnsiTheme="minorHAnsi" w:cstheme="minorBidi"/>
          <w:b w:val="0"/>
          <w:noProof/>
          <w:kern w:val="2"/>
          <w:sz w:val="24"/>
          <w:szCs w:val="24"/>
          <w:lang w:eastAsia="en-AU"/>
          <w14:ligatures w14:val="standardContextual"/>
        </w:rPr>
      </w:pPr>
      <w:hyperlink w:anchor="_Toc181015727" w:history="1">
        <w:r w:rsidR="00EB6E61" w:rsidRPr="004A2B92">
          <w:rPr>
            <w:rStyle w:val="Hyperlink"/>
            <w:noProof/>
          </w:rPr>
          <w:t>Director’s foreword</w:t>
        </w:r>
        <w:r w:rsidR="00EB6E61">
          <w:rPr>
            <w:noProof/>
            <w:webHidden/>
          </w:rPr>
          <w:tab/>
        </w:r>
        <w:r w:rsidR="00EB6E61">
          <w:rPr>
            <w:noProof/>
            <w:webHidden/>
          </w:rPr>
          <w:fldChar w:fldCharType="begin"/>
        </w:r>
        <w:r w:rsidR="00EB6E61">
          <w:rPr>
            <w:noProof/>
            <w:webHidden/>
          </w:rPr>
          <w:instrText xml:space="preserve"> PAGEREF _Toc181015727 \h </w:instrText>
        </w:r>
        <w:r w:rsidR="00EB6E61">
          <w:rPr>
            <w:noProof/>
            <w:webHidden/>
          </w:rPr>
        </w:r>
        <w:r w:rsidR="00EB6E61">
          <w:rPr>
            <w:noProof/>
            <w:webHidden/>
          </w:rPr>
          <w:fldChar w:fldCharType="separate"/>
        </w:r>
        <w:r w:rsidR="00EB6E61">
          <w:rPr>
            <w:noProof/>
            <w:webHidden/>
          </w:rPr>
          <w:t>4</w:t>
        </w:r>
        <w:r w:rsidR="00EB6E61">
          <w:rPr>
            <w:noProof/>
            <w:webHidden/>
          </w:rPr>
          <w:fldChar w:fldCharType="end"/>
        </w:r>
      </w:hyperlink>
    </w:p>
    <w:p w14:paraId="456BB9E2" w14:textId="1A34EE7E" w:rsidR="00EB6E61" w:rsidRDefault="006C5DC0">
      <w:pPr>
        <w:pStyle w:val="TOC1"/>
        <w:rPr>
          <w:rFonts w:asciiTheme="minorHAnsi" w:eastAsiaTheme="minorEastAsia" w:hAnsiTheme="minorHAnsi" w:cstheme="minorBidi"/>
          <w:b w:val="0"/>
          <w:noProof/>
          <w:kern w:val="2"/>
          <w:sz w:val="24"/>
          <w:szCs w:val="24"/>
          <w:lang w:eastAsia="en-AU"/>
          <w14:ligatures w14:val="standardContextual"/>
        </w:rPr>
      </w:pPr>
      <w:hyperlink w:anchor="_Toc181015728" w:history="1">
        <w:r w:rsidR="00EB6E61" w:rsidRPr="004A2B92">
          <w:rPr>
            <w:rStyle w:val="Hyperlink"/>
            <w:noProof/>
          </w:rPr>
          <w:t>About us</w:t>
        </w:r>
        <w:r w:rsidR="00EB6E61">
          <w:rPr>
            <w:noProof/>
            <w:webHidden/>
          </w:rPr>
          <w:tab/>
        </w:r>
        <w:r w:rsidR="00EB6E61">
          <w:rPr>
            <w:noProof/>
            <w:webHidden/>
          </w:rPr>
          <w:fldChar w:fldCharType="begin"/>
        </w:r>
        <w:r w:rsidR="00EB6E61">
          <w:rPr>
            <w:noProof/>
            <w:webHidden/>
          </w:rPr>
          <w:instrText xml:space="preserve"> PAGEREF _Toc181015728 \h </w:instrText>
        </w:r>
        <w:r w:rsidR="00EB6E61">
          <w:rPr>
            <w:noProof/>
            <w:webHidden/>
          </w:rPr>
        </w:r>
        <w:r w:rsidR="00EB6E61">
          <w:rPr>
            <w:noProof/>
            <w:webHidden/>
          </w:rPr>
          <w:fldChar w:fldCharType="separate"/>
        </w:r>
        <w:r w:rsidR="00EB6E61">
          <w:rPr>
            <w:noProof/>
            <w:webHidden/>
          </w:rPr>
          <w:t>7</w:t>
        </w:r>
        <w:r w:rsidR="00EB6E61">
          <w:rPr>
            <w:noProof/>
            <w:webHidden/>
          </w:rPr>
          <w:fldChar w:fldCharType="end"/>
        </w:r>
      </w:hyperlink>
    </w:p>
    <w:p w14:paraId="50C6EE37" w14:textId="68C03728"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29" w:history="1">
        <w:r w:rsidR="00EB6E61" w:rsidRPr="004A2B92">
          <w:rPr>
            <w:rStyle w:val="Hyperlink"/>
          </w:rPr>
          <w:t>Values, vision, outcomes, functions, regulatory approach, stakeholder engagement framework</w:t>
        </w:r>
        <w:r w:rsidR="00EB6E61">
          <w:rPr>
            <w:webHidden/>
          </w:rPr>
          <w:tab/>
        </w:r>
        <w:r w:rsidR="00EB6E61">
          <w:rPr>
            <w:webHidden/>
          </w:rPr>
          <w:fldChar w:fldCharType="begin"/>
        </w:r>
        <w:r w:rsidR="00EB6E61">
          <w:rPr>
            <w:webHidden/>
          </w:rPr>
          <w:instrText xml:space="preserve"> PAGEREF _Toc181015729 \h </w:instrText>
        </w:r>
        <w:r w:rsidR="00EB6E61">
          <w:rPr>
            <w:webHidden/>
          </w:rPr>
        </w:r>
        <w:r w:rsidR="00EB6E61">
          <w:rPr>
            <w:webHidden/>
          </w:rPr>
          <w:fldChar w:fldCharType="separate"/>
        </w:r>
        <w:r w:rsidR="00EB6E61">
          <w:rPr>
            <w:webHidden/>
          </w:rPr>
          <w:t>7</w:t>
        </w:r>
        <w:r w:rsidR="00EB6E61">
          <w:rPr>
            <w:webHidden/>
          </w:rPr>
          <w:fldChar w:fldCharType="end"/>
        </w:r>
      </w:hyperlink>
    </w:p>
    <w:p w14:paraId="7AAD8905" w14:textId="3CE8D075"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30" w:history="1">
        <w:r w:rsidR="00EB6E61" w:rsidRPr="004A2B92">
          <w:rPr>
            <w:rStyle w:val="Hyperlink"/>
          </w:rPr>
          <w:t>2023–26 Strategic Plan</w:t>
        </w:r>
        <w:r w:rsidR="00EB6E61">
          <w:rPr>
            <w:webHidden/>
          </w:rPr>
          <w:tab/>
        </w:r>
        <w:r w:rsidR="00EB6E61">
          <w:rPr>
            <w:webHidden/>
          </w:rPr>
          <w:fldChar w:fldCharType="begin"/>
        </w:r>
        <w:r w:rsidR="00EB6E61">
          <w:rPr>
            <w:webHidden/>
          </w:rPr>
          <w:instrText xml:space="preserve"> PAGEREF _Toc181015730 \h </w:instrText>
        </w:r>
        <w:r w:rsidR="00EB6E61">
          <w:rPr>
            <w:webHidden/>
          </w:rPr>
        </w:r>
        <w:r w:rsidR="00EB6E61">
          <w:rPr>
            <w:webHidden/>
          </w:rPr>
          <w:fldChar w:fldCharType="separate"/>
        </w:r>
        <w:r w:rsidR="00EB6E61">
          <w:rPr>
            <w:webHidden/>
          </w:rPr>
          <w:t>9</w:t>
        </w:r>
        <w:r w:rsidR="00EB6E61">
          <w:rPr>
            <w:webHidden/>
          </w:rPr>
          <w:fldChar w:fldCharType="end"/>
        </w:r>
      </w:hyperlink>
    </w:p>
    <w:p w14:paraId="6E6E8B3C" w14:textId="4965F5D8"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31" w:history="1">
        <w:r w:rsidR="00EB6E61" w:rsidRPr="004A2B92">
          <w:rPr>
            <w:rStyle w:val="Hyperlink"/>
          </w:rPr>
          <w:t>Regulatory priorities 2023–24</w:t>
        </w:r>
        <w:r w:rsidR="00EB6E61">
          <w:rPr>
            <w:webHidden/>
          </w:rPr>
          <w:tab/>
        </w:r>
        <w:r w:rsidR="00EB6E61">
          <w:rPr>
            <w:webHidden/>
          </w:rPr>
          <w:fldChar w:fldCharType="begin"/>
        </w:r>
        <w:r w:rsidR="00EB6E61">
          <w:rPr>
            <w:webHidden/>
          </w:rPr>
          <w:instrText xml:space="preserve"> PAGEREF _Toc181015731 \h </w:instrText>
        </w:r>
        <w:r w:rsidR="00EB6E61">
          <w:rPr>
            <w:webHidden/>
          </w:rPr>
        </w:r>
        <w:r w:rsidR="00EB6E61">
          <w:rPr>
            <w:webHidden/>
          </w:rPr>
          <w:fldChar w:fldCharType="separate"/>
        </w:r>
        <w:r w:rsidR="00EB6E61">
          <w:rPr>
            <w:webHidden/>
          </w:rPr>
          <w:t>11</w:t>
        </w:r>
        <w:r w:rsidR="00EB6E61">
          <w:rPr>
            <w:webHidden/>
          </w:rPr>
          <w:fldChar w:fldCharType="end"/>
        </w:r>
      </w:hyperlink>
    </w:p>
    <w:p w14:paraId="21E077E8" w14:textId="7AA0933B" w:rsidR="00EB6E61" w:rsidRDefault="006C5DC0">
      <w:pPr>
        <w:pStyle w:val="TOC1"/>
        <w:rPr>
          <w:rFonts w:asciiTheme="minorHAnsi" w:eastAsiaTheme="minorEastAsia" w:hAnsiTheme="minorHAnsi" w:cstheme="minorBidi"/>
          <w:b w:val="0"/>
          <w:noProof/>
          <w:kern w:val="2"/>
          <w:sz w:val="24"/>
          <w:szCs w:val="24"/>
          <w:lang w:eastAsia="en-AU"/>
          <w14:ligatures w14:val="standardContextual"/>
        </w:rPr>
      </w:pPr>
      <w:hyperlink w:anchor="_Toc181015732" w:history="1">
        <w:r w:rsidR="00EB6E61" w:rsidRPr="004A2B92">
          <w:rPr>
            <w:rStyle w:val="Hyperlink"/>
            <w:noProof/>
          </w:rPr>
          <w:t>Our performance</w:t>
        </w:r>
        <w:r w:rsidR="00EB6E61">
          <w:rPr>
            <w:noProof/>
            <w:webHidden/>
          </w:rPr>
          <w:tab/>
        </w:r>
        <w:r w:rsidR="00EB6E61">
          <w:rPr>
            <w:noProof/>
            <w:webHidden/>
          </w:rPr>
          <w:fldChar w:fldCharType="begin"/>
        </w:r>
        <w:r w:rsidR="00EB6E61">
          <w:rPr>
            <w:noProof/>
            <w:webHidden/>
          </w:rPr>
          <w:instrText xml:space="preserve"> PAGEREF _Toc181015732 \h </w:instrText>
        </w:r>
        <w:r w:rsidR="00EB6E61">
          <w:rPr>
            <w:noProof/>
            <w:webHidden/>
          </w:rPr>
        </w:r>
        <w:r w:rsidR="00EB6E61">
          <w:rPr>
            <w:noProof/>
            <w:webHidden/>
          </w:rPr>
          <w:fldChar w:fldCharType="separate"/>
        </w:r>
        <w:r w:rsidR="00EB6E61">
          <w:rPr>
            <w:noProof/>
            <w:webHidden/>
          </w:rPr>
          <w:t>12</w:t>
        </w:r>
        <w:r w:rsidR="00EB6E61">
          <w:rPr>
            <w:noProof/>
            <w:webHidden/>
          </w:rPr>
          <w:fldChar w:fldCharType="end"/>
        </w:r>
      </w:hyperlink>
    </w:p>
    <w:p w14:paraId="3B64C38B" w14:textId="353B9265" w:rsidR="00EB6E61" w:rsidRDefault="006C5DC0">
      <w:pPr>
        <w:pStyle w:val="TOC1"/>
        <w:rPr>
          <w:rFonts w:asciiTheme="minorHAnsi" w:eastAsiaTheme="minorEastAsia" w:hAnsiTheme="minorHAnsi" w:cstheme="minorBidi"/>
          <w:b w:val="0"/>
          <w:noProof/>
          <w:kern w:val="2"/>
          <w:sz w:val="24"/>
          <w:szCs w:val="24"/>
          <w:lang w:eastAsia="en-AU"/>
          <w14:ligatures w14:val="standardContextual"/>
        </w:rPr>
      </w:pPr>
      <w:hyperlink w:anchor="_Toc181015733" w:history="1">
        <w:r w:rsidR="00EB6E61" w:rsidRPr="004A2B92">
          <w:rPr>
            <w:rStyle w:val="Hyperlink"/>
            <w:noProof/>
          </w:rPr>
          <w:t>Our achievements</w:t>
        </w:r>
        <w:r w:rsidR="00EB6E61">
          <w:rPr>
            <w:noProof/>
            <w:webHidden/>
          </w:rPr>
          <w:tab/>
        </w:r>
        <w:r w:rsidR="00EB6E61">
          <w:rPr>
            <w:noProof/>
            <w:webHidden/>
          </w:rPr>
          <w:fldChar w:fldCharType="begin"/>
        </w:r>
        <w:r w:rsidR="00EB6E61">
          <w:rPr>
            <w:noProof/>
            <w:webHidden/>
          </w:rPr>
          <w:instrText xml:space="preserve"> PAGEREF _Toc181015733 \h </w:instrText>
        </w:r>
        <w:r w:rsidR="00EB6E61">
          <w:rPr>
            <w:noProof/>
            <w:webHidden/>
          </w:rPr>
        </w:r>
        <w:r w:rsidR="00EB6E61">
          <w:rPr>
            <w:noProof/>
            <w:webHidden/>
          </w:rPr>
          <w:fldChar w:fldCharType="separate"/>
        </w:r>
        <w:r w:rsidR="00EB6E61">
          <w:rPr>
            <w:noProof/>
            <w:webHidden/>
          </w:rPr>
          <w:t>14</w:t>
        </w:r>
        <w:r w:rsidR="00EB6E61">
          <w:rPr>
            <w:noProof/>
            <w:webHidden/>
          </w:rPr>
          <w:fldChar w:fldCharType="end"/>
        </w:r>
      </w:hyperlink>
    </w:p>
    <w:p w14:paraId="23AE712E" w14:textId="67FED368"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34" w:history="1">
        <w:r w:rsidR="00EB6E61" w:rsidRPr="004A2B92">
          <w:rPr>
            <w:rStyle w:val="Hyperlink"/>
          </w:rPr>
          <w:t>Victorians exercise their consumer rights</w:t>
        </w:r>
        <w:r w:rsidR="00EB6E61">
          <w:rPr>
            <w:webHidden/>
          </w:rPr>
          <w:tab/>
        </w:r>
        <w:r w:rsidR="00EB6E61">
          <w:rPr>
            <w:webHidden/>
          </w:rPr>
          <w:fldChar w:fldCharType="begin"/>
        </w:r>
        <w:r w:rsidR="00EB6E61">
          <w:rPr>
            <w:webHidden/>
          </w:rPr>
          <w:instrText xml:space="preserve"> PAGEREF _Toc181015734 \h </w:instrText>
        </w:r>
        <w:r w:rsidR="00EB6E61">
          <w:rPr>
            <w:webHidden/>
          </w:rPr>
        </w:r>
        <w:r w:rsidR="00EB6E61">
          <w:rPr>
            <w:webHidden/>
          </w:rPr>
          <w:fldChar w:fldCharType="separate"/>
        </w:r>
        <w:r w:rsidR="00EB6E61">
          <w:rPr>
            <w:webHidden/>
          </w:rPr>
          <w:t>14</w:t>
        </w:r>
        <w:r w:rsidR="00EB6E61">
          <w:rPr>
            <w:webHidden/>
          </w:rPr>
          <w:fldChar w:fldCharType="end"/>
        </w:r>
      </w:hyperlink>
    </w:p>
    <w:p w14:paraId="7638C8B3" w14:textId="28FA6A82"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35" w:history="1">
        <w:r w:rsidR="00EB6E61" w:rsidRPr="004A2B92">
          <w:rPr>
            <w:rStyle w:val="Hyperlink"/>
          </w:rPr>
          <w:t>Businesses and rental providers do the right thing</w:t>
        </w:r>
        <w:r w:rsidR="00EB6E61">
          <w:rPr>
            <w:webHidden/>
          </w:rPr>
          <w:tab/>
        </w:r>
        <w:r w:rsidR="00EB6E61">
          <w:rPr>
            <w:webHidden/>
          </w:rPr>
          <w:fldChar w:fldCharType="begin"/>
        </w:r>
        <w:r w:rsidR="00EB6E61">
          <w:rPr>
            <w:webHidden/>
          </w:rPr>
          <w:instrText xml:space="preserve"> PAGEREF _Toc181015735 \h </w:instrText>
        </w:r>
        <w:r w:rsidR="00EB6E61">
          <w:rPr>
            <w:webHidden/>
          </w:rPr>
        </w:r>
        <w:r w:rsidR="00EB6E61">
          <w:rPr>
            <w:webHidden/>
          </w:rPr>
          <w:fldChar w:fldCharType="separate"/>
        </w:r>
        <w:r w:rsidR="00EB6E61">
          <w:rPr>
            <w:webHidden/>
          </w:rPr>
          <w:t>18</w:t>
        </w:r>
        <w:r w:rsidR="00EB6E61">
          <w:rPr>
            <w:webHidden/>
          </w:rPr>
          <w:fldChar w:fldCharType="end"/>
        </w:r>
      </w:hyperlink>
    </w:p>
    <w:p w14:paraId="7B7876CE" w14:textId="5F1C1810"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36" w:history="1">
        <w:r w:rsidR="00EB6E61" w:rsidRPr="004A2B92">
          <w:rPr>
            <w:rStyle w:val="Hyperlink"/>
          </w:rPr>
          <w:t>CAV is a trusted regulator</w:t>
        </w:r>
        <w:r w:rsidR="00EB6E61">
          <w:rPr>
            <w:webHidden/>
          </w:rPr>
          <w:tab/>
        </w:r>
        <w:r w:rsidR="00EB6E61">
          <w:rPr>
            <w:webHidden/>
          </w:rPr>
          <w:fldChar w:fldCharType="begin"/>
        </w:r>
        <w:r w:rsidR="00EB6E61">
          <w:rPr>
            <w:webHidden/>
          </w:rPr>
          <w:instrText xml:space="preserve"> PAGEREF _Toc181015736 \h </w:instrText>
        </w:r>
        <w:r w:rsidR="00EB6E61">
          <w:rPr>
            <w:webHidden/>
          </w:rPr>
        </w:r>
        <w:r w:rsidR="00EB6E61">
          <w:rPr>
            <w:webHidden/>
          </w:rPr>
          <w:fldChar w:fldCharType="separate"/>
        </w:r>
        <w:r w:rsidR="00EB6E61">
          <w:rPr>
            <w:webHidden/>
          </w:rPr>
          <w:t>26</w:t>
        </w:r>
        <w:r w:rsidR="00EB6E61">
          <w:rPr>
            <w:webHidden/>
          </w:rPr>
          <w:fldChar w:fldCharType="end"/>
        </w:r>
      </w:hyperlink>
    </w:p>
    <w:p w14:paraId="5772BFBC" w14:textId="7BB6BE42" w:rsidR="00EB6E61" w:rsidRDefault="006C5DC0">
      <w:pPr>
        <w:pStyle w:val="TOC1"/>
        <w:rPr>
          <w:rFonts w:asciiTheme="minorHAnsi" w:eastAsiaTheme="minorEastAsia" w:hAnsiTheme="minorHAnsi" w:cstheme="minorBidi"/>
          <w:b w:val="0"/>
          <w:noProof/>
          <w:kern w:val="2"/>
          <w:sz w:val="24"/>
          <w:szCs w:val="24"/>
          <w:lang w:eastAsia="en-AU"/>
          <w14:ligatures w14:val="standardContextual"/>
        </w:rPr>
      </w:pPr>
      <w:hyperlink w:anchor="_Toc181015737" w:history="1">
        <w:r w:rsidR="00EB6E61" w:rsidRPr="004A2B92">
          <w:rPr>
            <w:rStyle w:val="Hyperlink"/>
            <w:noProof/>
          </w:rPr>
          <w:t>Financial information 2023–24</w:t>
        </w:r>
        <w:r w:rsidR="00EB6E61">
          <w:rPr>
            <w:noProof/>
            <w:webHidden/>
          </w:rPr>
          <w:tab/>
        </w:r>
        <w:r w:rsidR="00EB6E61">
          <w:rPr>
            <w:noProof/>
            <w:webHidden/>
          </w:rPr>
          <w:fldChar w:fldCharType="begin"/>
        </w:r>
        <w:r w:rsidR="00EB6E61">
          <w:rPr>
            <w:noProof/>
            <w:webHidden/>
          </w:rPr>
          <w:instrText xml:space="preserve"> PAGEREF _Toc181015737 \h </w:instrText>
        </w:r>
        <w:r w:rsidR="00EB6E61">
          <w:rPr>
            <w:noProof/>
            <w:webHidden/>
          </w:rPr>
        </w:r>
        <w:r w:rsidR="00EB6E61">
          <w:rPr>
            <w:noProof/>
            <w:webHidden/>
          </w:rPr>
          <w:fldChar w:fldCharType="separate"/>
        </w:r>
        <w:r w:rsidR="00EB6E61">
          <w:rPr>
            <w:noProof/>
            <w:webHidden/>
          </w:rPr>
          <w:t>34</w:t>
        </w:r>
        <w:r w:rsidR="00EB6E61">
          <w:rPr>
            <w:noProof/>
            <w:webHidden/>
          </w:rPr>
          <w:fldChar w:fldCharType="end"/>
        </w:r>
      </w:hyperlink>
    </w:p>
    <w:p w14:paraId="683275B9" w14:textId="1D673358" w:rsidR="00EB6E61" w:rsidRDefault="006C5DC0">
      <w:pPr>
        <w:pStyle w:val="TOC1"/>
        <w:rPr>
          <w:rFonts w:asciiTheme="minorHAnsi" w:eastAsiaTheme="minorEastAsia" w:hAnsiTheme="minorHAnsi" w:cstheme="minorBidi"/>
          <w:b w:val="0"/>
          <w:noProof/>
          <w:kern w:val="2"/>
          <w:sz w:val="24"/>
          <w:szCs w:val="24"/>
          <w:lang w:eastAsia="en-AU"/>
          <w14:ligatures w14:val="standardContextual"/>
        </w:rPr>
      </w:pPr>
      <w:hyperlink w:anchor="_Toc181015738" w:history="1">
        <w:r w:rsidR="00EB6E61" w:rsidRPr="004A2B92">
          <w:rPr>
            <w:rStyle w:val="Hyperlink"/>
            <w:noProof/>
          </w:rPr>
          <w:t xml:space="preserve">Acts and regulations administered by CAV: </w:t>
        </w:r>
        <w:r w:rsidR="00EB6E61">
          <w:rPr>
            <w:rStyle w:val="Hyperlink"/>
            <w:noProof/>
          </w:rPr>
          <w:br/>
        </w:r>
        <w:r w:rsidR="00EB6E61" w:rsidRPr="004A2B92">
          <w:rPr>
            <w:rStyle w:val="Hyperlink"/>
            <w:noProof/>
          </w:rPr>
          <w:t>passed, commenced, made and revoked in 2023–24</w:t>
        </w:r>
        <w:r w:rsidR="00EB6E61">
          <w:rPr>
            <w:noProof/>
            <w:webHidden/>
          </w:rPr>
          <w:tab/>
        </w:r>
        <w:r w:rsidR="00EB6E61">
          <w:rPr>
            <w:noProof/>
            <w:webHidden/>
          </w:rPr>
          <w:fldChar w:fldCharType="begin"/>
        </w:r>
        <w:r w:rsidR="00EB6E61">
          <w:rPr>
            <w:noProof/>
            <w:webHidden/>
          </w:rPr>
          <w:instrText xml:space="preserve"> PAGEREF _Toc181015738 \h </w:instrText>
        </w:r>
        <w:r w:rsidR="00EB6E61">
          <w:rPr>
            <w:noProof/>
            <w:webHidden/>
          </w:rPr>
        </w:r>
        <w:r w:rsidR="00EB6E61">
          <w:rPr>
            <w:noProof/>
            <w:webHidden/>
          </w:rPr>
          <w:fldChar w:fldCharType="separate"/>
        </w:r>
        <w:r w:rsidR="00EB6E61">
          <w:rPr>
            <w:noProof/>
            <w:webHidden/>
          </w:rPr>
          <w:t>35</w:t>
        </w:r>
        <w:r w:rsidR="00EB6E61">
          <w:rPr>
            <w:noProof/>
            <w:webHidden/>
          </w:rPr>
          <w:fldChar w:fldCharType="end"/>
        </w:r>
      </w:hyperlink>
    </w:p>
    <w:p w14:paraId="72DB1FA8" w14:textId="62875B74"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39" w:history="1">
        <w:r w:rsidR="00EB6E61" w:rsidRPr="004A2B92">
          <w:rPr>
            <w:rStyle w:val="Hyperlink"/>
          </w:rPr>
          <w:t>Acts passed</w:t>
        </w:r>
        <w:r w:rsidR="00EB6E61">
          <w:rPr>
            <w:webHidden/>
          </w:rPr>
          <w:tab/>
        </w:r>
        <w:r w:rsidR="00EB6E61">
          <w:rPr>
            <w:webHidden/>
          </w:rPr>
          <w:fldChar w:fldCharType="begin"/>
        </w:r>
        <w:r w:rsidR="00EB6E61">
          <w:rPr>
            <w:webHidden/>
          </w:rPr>
          <w:instrText xml:space="preserve"> PAGEREF _Toc181015739 \h </w:instrText>
        </w:r>
        <w:r w:rsidR="00EB6E61">
          <w:rPr>
            <w:webHidden/>
          </w:rPr>
        </w:r>
        <w:r w:rsidR="00EB6E61">
          <w:rPr>
            <w:webHidden/>
          </w:rPr>
          <w:fldChar w:fldCharType="separate"/>
        </w:r>
        <w:r w:rsidR="00EB6E61">
          <w:rPr>
            <w:webHidden/>
          </w:rPr>
          <w:t>35</w:t>
        </w:r>
        <w:r w:rsidR="00EB6E61">
          <w:rPr>
            <w:webHidden/>
          </w:rPr>
          <w:fldChar w:fldCharType="end"/>
        </w:r>
      </w:hyperlink>
    </w:p>
    <w:p w14:paraId="5B5A6DFC" w14:textId="75F679E9"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40" w:history="1">
        <w:r w:rsidR="00EB6E61" w:rsidRPr="004A2B92">
          <w:rPr>
            <w:rStyle w:val="Hyperlink"/>
          </w:rPr>
          <w:t>Acts commenced</w:t>
        </w:r>
        <w:r w:rsidR="00EB6E61">
          <w:rPr>
            <w:webHidden/>
          </w:rPr>
          <w:tab/>
        </w:r>
        <w:r w:rsidR="00EB6E61">
          <w:rPr>
            <w:webHidden/>
          </w:rPr>
          <w:fldChar w:fldCharType="begin"/>
        </w:r>
        <w:r w:rsidR="00EB6E61">
          <w:rPr>
            <w:webHidden/>
          </w:rPr>
          <w:instrText xml:space="preserve"> PAGEREF _Toc181015740 \h </w:instrText>
        </w:r>
        <w:r w:rsidR="00EB6E61">
          <w:rPr>
            <w:webHidden/>
          </w:rPr>
        </w:r>
        <w:r w:rsidR="00EB6E61">
          <w:rPr>
            <w:webHidden/>
          </w:rPr>
          <w:fldChar w:fldCharType="separate"/>
        </w:r>
        <w:r w:rsidR="00EB6E61">
          <w:rPr>
            <w:webHidden/>
          </w:rPr>
          <w:t>35</w:t>
        </w:r>
        <w:r w:rsidR="00EB6E61">
          <w:rPr>
            <w:webHidden/>
          </w:rPr>
          <w:fldChar w:fldCharType="end"/>
        </w:r>
      </w:hyperlink>
    </w:p>
    <w:p w14:paraId="373A436D" w14:textId="545407AA"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41" w:history="1">
        <w:r w:rsidR="00EB6E61" w:rsidRPr="004A2B92">
          <w:rPr>
            <w:rStyle w:val="Hyperlink"/>
          </w:rPr>
          <w:t>Acts revoked</w:t>
        </w:r>
        <w:r w:rsidR="00EB6E61">
          <w:rPr>
            <w:webHidden/>
          </w:rPr>
          <w:tab/>
        </w:r>
        <w:r w:rsidR="00EB6E61">
          <w:rPr>
            <w:webHidden/>
          </w:rPr>
          <w:fldChar w:fldCharType="begin"/>
        </w:r>
        <w:r w:rsidR="00EB6E61">
          <w:rPr>
            <w:webHidden/>
          </w:rPr>
          <w:instrText xml:space="preserve"> PAGEREF _Toc181015741 \h </w:instrText>
        </w:r>
        <w:r w:rsidR="00EB6E61">
          <w:rPr>
            <w:webHidden/>
          </w:rPr>
        </w:r>
        <w:r w:rsidR="00EB6E61">
          <w:rPr>
            <w:webHidden/>
          </w:rPr>
          <w:fldChar w:fldCharType="separate"/>
        </w:r>
        <w:r w:rsidR="00EB6E61">
          <w:rPr>
            <w:webHidden/>
          </w:rPr>
          <w:t>35</w:t>
        </w:r>
        <w:r w:rsidR="00EB6E61">
          <w:rPr>
            <w:webHidden/>
          </w:rPr>
          <w:fldChar w:fldCharType="end"/>
        </w:r>
      </w:hyperlink>
    </w:p>
    <w:p w14:paraId="51396F22" w14:textId="3F801E20"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42" w:history="1">
        <w:r w:rsidR="00EB6E61" w:rsidRPr="004A2B92">
          <w:rPr>
            <w:rStyle w:val="Hyperlink"/>
          </w:rPr>
          <w:t>Regulations made</w:t>
        </w:r>
        <w:r w:rsidR="00EB6E61">
          <w:rPr>
            <w:webHidden/>
          </w:rPr>
          <w:tab/>
        </w:r>
        <w:r w:rsidR="00EB6E61">
          <w:rPr>
            <w:webHidden/>
          </w:rPr>
          <w:fldChar w:fldCharType="begin"/>
        </w:r>
        <w:r w:rsidR="00EB6E61">
          <w:rPr>
            <w:webHidden/>
          </w:rPr>
          <w:instrText xml:space="preserve"> PAGEREF _Toc181015742 \h </w:instrText>
        </w:r>
        <w:r w:rsidR="00EB6E61">
          <w:rPr>
            <w:webHidden/>
          </w:rPr>
        </w:r>
        <w:r w:rsidR="00EB6E61">
          <w:rPr>
            <w:webHidden/>
          </w:rPr>
          <w:fldChar w:fldCharType="separate"/>
        </w:r>
        <w:r w:rsidR="00EB6E61">
          <w:rPr>
            <w:webHidden/>
          </w:rPr>
          <w:t>35</w:t>
        </w:r>
        <w:r w:rsidR="00EB6E61">
          <w:rPr>
            <w:webHidden/>
          </w:rPr>
          <w:fldChar w:fldCharType="end"/>
        </w:r>
      </w:hyperlink>
    </w:p>
    <w:p w14:paraId="23695095" w14:textId="1EBFC1E4"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43" w:history="1">
        <w:r w:rsidR="00EB6E61" w:rsidRPr="004A2B92">
          <w:rPr>
            <w:rStyle w:val="Hyperlink"/>
          </w:rPr>
          <w:t>Regulations commenced</w:t>
        </w:r>
        <w:r w:rsidR="00EB6E61">
          <w:rPr>
            <w:webHidden/>
          </w:rPr>
          <w:tab/>
        </w:r>
        <w:r w:rsidR="00EB6E61">
          <w:rPr>
            <w:webHidden/>
          </w:rPr>
          <w:fldChar w:fldCharType="begin"/>
        </w:r>
        <w:r w:rsidR="00EB6E61">
          <w:rPr>
            <w:webHidden/>
          </w:rPr>
          <w:instrText xml:space="preserve"> PAGEREF _Toc181015743 \h </w:instrText>
        </w:r>
        <w:r w:rsidR="00EB6E61">
          <w:rPr>
            <w:webHidden/>
          </w:rPr>
        </w:r>
        <w:r w:rsidR="00EB6E61">
          <w:rPr>
            <w:webHidden/>
          </w:rPr>
          <w:fldChar w:fldCharType="separate"/>
        </w:r>
        <w:r w:rsidR="00EB6E61">
          <w:rPr>
            <w:webHidden/>
          </w:rPr>
          <w:t>35</w:t>
        </w:r>
        <w:r w:rsidR="00EB6E61">
          <w:rPr>
            <w:webHidden/>
          </w:rPr>
          <w:fldChar w:fldCharType="end"/>
        </w:r>
      </w:hyperlink>
    </w:p>
    <w:p w14:paraId="1A4526D1" w14:textId="38BC95F8" w:rsidR="00EB6E61" w:rsidRDefault="006C5DC0">
      <w:pPr>
        <w:pStyle w:val="TOC2"/>
        <w:rPr>
          <w:rFonts w:asciiTheme="minorHAnsi" w:eastAsiaTheme="minorEastAsia" w:hAnsiTheme="minorHAnsi" w:cstheme="minorBidi"/>
          <w:kern w:val="2"/>
          <w:sz w:val="24"/>
          <w:szCs w:val="24"/>
          <w:lang w:eastAsia="en-AU"/>
          <w14:ligatures w14:val="standardContextual"/>
        </w:rPr>
      </w:pPr>
      <w:hyperlink w:anchor="_Toc181015744" w:history="1">
        <w:r w:rsidR="00EB6E61" w:rsidRPr="004A2B92">
          <w:rPr>
            <w:rStyle w:val="Hyperlink"/>
          </w:rPr>
          <w:t>Regulations revoked</w:t>
        </w:r>
        <w:r w:rsidR="00EB6E61">
          <w:rPr>
            <w:webHidden/>
          </w:rPr>
          <w:tab/>
        </w:r>
        <w:r w:rsidR="00EB6E61">
          <w:rPr>
            <w:webHidden/>
          </w:rPr>
          <w:fldChar w:fldCharType="begin"/>
        </w:r>
        <w:r w:rsidR="00EB6E61">
          <w:rPr>
            <w:webHidden/>
          </w:rPr>
          <w:instrText xml:space="preserve"> PAGEREF _Toc181015744 \h </w:instrText>
        </w:r>
        <w:r w:rsidR="00EB6E61">
          <w:rPr>
            <w:webHidden/>
          </w:rPr>
        </w:r>
        <w:r w:rsidR="00EB6E61">
          <w:rPr>
            <w:webHidden/>
          </w:rPr>
          <w:fldChar w:fldCharType="separate"/>
        </w:r>
        <w:r w:rsidR="00EB6E61">
          <w:rPr>
            <w:webHidden/>
          </w:rPr>
          <w:t>36</w:t>
        </w:r>
        <w:r w:rsidR="00EB6E61">
          <w:rPr>
            <w:webHidden/>
          </w:rPr>
          <w:fldChar w:fldCharType="end"/>
        </w:r>
      </w:hyperlink>
    </w:p>
    <w:p w14:paraId="69EEECBA" w14:textId="786F00B2" w:rsidR="00EB6E61" w:rsidRDefault="006C5DC0">
      <w:pPr>
        <w:pStyle w:val="TOC1"/>
        <w:rPr>
          <w:rFonts w:asciiTheme="minorHAnsi" w:eastAsiaTheme="minorEastAsia" w:hAnsiTheme="minorHAnsi" w:cstheme="minorBidi"/>
          <w:b w:val="0"/>
          <w:noProof/>
          <w:kern w:val="2"/>
          <w:sz w:val="24"/>
          <w:szCs w:val="24"/>
          <w:lang w:eastAsia="en-AU"/>
          <w14:ligatures w14:val="standardContextual"/>
        </w:rPr>
      </w:pPr>
      <w:hyperlink w:anchor="_Toc181015745" w:history="1">
        <w:r w:rsidR="00EB6E61" w:rsidRPr="004A2B92">
          <w:rPr>
            <w:rStyle w:val="Hyperlink"/>
            <w:noProof/>
          </w:rPr>
          <w:t>Legislation administered by CAV as at 30 June 2024</w:t>
        </w:r>
        <w:r w:rsidR="00EB6E61">
          <w:rPr>
            <w:noProof/>
            <w:webHidden/>
          </w:rPr>
          <w:tab/>
        </w:r>
        <w:r w:rsidR="00EB6E61">
          <w:rPr>
            <w:noProof/>
            <w:webHidden/>
          </w:rPr>
          <w:fldChar w:fldCharType="begin"/>
        </w:r>
        <w:r w:rsidR="00EB6E61">
          <w:rPr>
            <w:noProof/>
            <w:webHidden/>
          </w:rPr>
          <w:instrText xml:space="preserve"> PAGEREF _Toc181015745 \h </w:instrText>
        </w:r>
        <w:r w:rsidR="00EB6E61">
          <w:rPr>
            <w:noProof/>
            <w:webHidden/>
          </w:rPr>
        </w:r>
        <w:r w:rsidR="00EB6E61">
          <w:rPr>
            <w:noProof/>
            <w:webHidden/>
          </w:rPr>
          <w:fldChar w:fldCharType="separate"/>
        </w:r>
        <w:r w:rsidR="00EB6E61">
          <w:rPr>
            <w:noProof/>
            <w:webHidden/>
          </w:rPr>
          <w:t>37</w:t>
        </w:r>
        <w:r w:rsidR="00EB6E61">
          <w:rPr>
            <w:noProof/>
            <w:webHidden/>
          </w:rPr>
          <w:fldChar w:fldCharType="end"/>
        </w:r>
      </w:hyperlink>
    </w:p>
    <w:p w14:paraId="694FE513" w14:textId="0DFC7C62" w:rsidR="005D12F7" w:rsidRPr="00934136" w:rsidRDefault="009569B2" w:rsidP="005D12F7">
      <w:pPr>
        <w:pStyle w:val="Heading2"/>
      </w:pPr>
      <w:r w:rsidRPr="00934136">
        <w:lastRenderedPageBreak/>
        <w:fldChar w:fldCharType="end"/>
      </w:r>
      <w:r w:rsidR="005D12F7" w:rsidRPr="00934136">
        <w:t xml:space="preserve"> </w:t>
      </w:r>
      <w:bookmarkStart w:id="0" w:name="_Toc181015726"/>
      <w:r w:rsidR="005D12F7" w:rsidRPr="00934136">
        <w:t>Letter to the Minister</w:t>
      </w:r>
      <w:bookmarkEnd w:id="0"/>
    </w:p>
    <w:p w14:paraId="3914004A" w14:textId="77777777" w:rsidR="005D12F7" w:rsidRPr="00934136" w:rsidRDefault="005D12F7" w:rsidP="005D12F7">
      <w:pPr>
        <w:pStyle w:val="BodyText"/>
      </w:pPr>
      <w:r w:rsidRPr="00934136">
        <w:rPr>
          <w:noProof/>
        </w:rPr>
        <w:drawing>
          <wp:inline distT="0" distB="0" distL="0" distR="0" wp14:anchorId="251F7E4D" wp14:editId="443D191A">
            <wp:extent cx="1800000" cy="1800000"/>
            <wp:effectExtent l="0" t="0" r="0" b="0"/>
            <wp:docPr id="2018093500" name="Picture 1" descr="Photo of the Hon Gabrielle Williams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93500" name="Picture 1" descr="Photo of the Hon Gabrielle Williams 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4F5BF06C" w14:textId="77777777" w:rsidR="005D12F7" w:rsidRPr="00934136" w:rsidRDefault="005D12F7" w:rsidP="005D12F7">
      <w:pPr>
        <w:pStyle w:val="Caption"/>
        <w:rPr>
          <w:b w:val="0"/>
          <w:bCs w:val="0"/>
        </w:rPr>
      </w:pPr>
      <w:r w:rsidRPr="00934136">
        <w:t>The Hon Gabrielle Williams MP</w:t>
      </w:r>
      <w:r w:rsidRPr="00934136">
        <w:br/>
      </w:r>
      <w:r w:rsidRPr="00934136">
        <w:rPr>
          <w:b w:val="0"/>
          <w:bCs w:val="0"/>
        </w:rPr>
        <w:t>Minister for Consumer Affairs</w:t>
      </w:r>
    </w:p>
    <w:p w14:paraId="15233B66" w14:textId="77777777" w:rsidR="005D12F7" w:rsidRPr="00934136" w:rsidRDefault="005D12F7" w:rsidP="005D12F7">
      <w:pPr>
        <w:pStyle w:val="BodyText"/>
      </w:pPr>
      <w:r w:rsidRPr="00934136">
        <w:t>Dear Minister,</w:t>
      </w:r>
    </w:p>
    <w:p w14:paraId="03AA7B92" w14:textId="1D1F95DA" w:rsidR="005D12F7" w:rsidRPr="00934136" w:rsidRDefault="005D12F7" w:rsidP="00323F40">
      <w:pPr>
        <w:pStyle w:val="BodyText"/>
        <w:ind w:right="1985"/>
      </w:pPr>
      <w:r w:rsidRPr="00934136">
        <w:t xml:space="preserve">In accordance with the </w:t>
      </w:r>
      <w:r w:rsidRPr="00934136">
        <w:rPr>
          <w:rStyle w:val="Emphasis"/>
        </w:rPr>
        <w:t>Australian Consumer Law and Fair Trading Act 2012</w:t>
      </w:r>
      <w:r w:rsidRPr="00934136">
        <w:t xml:space="preserve">, the </w:t>
      </w:r>
      <w:r w:rsidRPr="00934136">
        <w:rPr>
          <w:rStyle w:val="Emphasis"/>
        </w:rPr>
        <w:t>Credit (Administration) Act 1984</w:t>
      </w:r>
      <w:r w:rsidRPr="00934136">
        <w:t xml:space="preserve"> and the </w:t>
      </w:r>
      <w:r w:rsidRPr="00934136">
        <w:rPr>
          <w:rStyle w:val="Emphasis"/>
        </w:rPr>
        <w:t>Veterans Act 2005</w:t>
      </w:r>
      <w:r w:rsidRPr="00934136">
        <w:t>, I am pleased to</w:t>
      </w:r>
      <w:r w:rsidR="00323F40">
        <w:t> </w:t>
      </w:r>
      <w:r w:rsidRPr="00934136">
        <w:t>present the Consumer Affairs Victoria Annual Report for the year</w:t>
      </w:r>
      <w:r w:rsidR="003B6722">
        <w:t> </w:t>
      </w:r>
      <w:r w:rsidRPr="00934136">
        <w:t>ending 30</w:t>
      </w:r>
      <w:r w:rsidR="00323F40">
        <w:t> </w:t>
      </w:r>
      <w:r w:rsidRPr="00934136">
        <w:t>June 2024.</w:t>
      </w:r>
    </w:p>
    <w:p w14:paraId="3E533667" w14:textId="77777777" w:rsidR="005D12F7" w:rsidRPr="00934136" w:rsidRDefault="005D12F7" w:rsidP="005D12F7">
      <w:pPr>
        <w:pStyle w:val="BodyText"/>
      </w:pPr>
      <w:r w:rsidRPr="00934136">
        <w:t>Yours sincerely,</w:t>
      </w:r>
    </w:p>
    <w:p w14:paraId="195AE742" w14:textId="08AC9BAD" w:rsidR="005D12F7" w:rsidRPr="00934136" w:rsidRDefault="005D12F7" w:rsidP="006157B7">
      <w:pPr>
        <w:pStyle w:val="BodyText"/>
        <w:spacing w:before="320" w:after="0"/>
      </w:pPr>
      <w:r w:rsidRPr="00934136">
        <w:rPr>
          <w:noProof/>
        </w:rPr>
        <w:drawing>
          <wp:inline distT="0" distB="0" distL="0" distR="0" wp14:anchorId="1539E3AA" wp14:editId="5A10F998">
            <wp:extent cx="848360" cy="332740"/>
            <wp:effectExtent l="0" t="0" r="8890" b="0"/>
            <wp:docPr id="1471492747" name="Picture 3" descr="Nicole Ric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92747" name="Picture 3" descr="Nicole Rich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8360" cy="332740"/>
                    </a:xfrm>
                    <a:prstGeom prst="rect">
                      <a:avLst/>
                    </a:prstGeom>
                    <a:noFill/>
                    <a:ln>
                      <a:noFill/>
                    </a:ln>
                  </pic:spPr>
                </pic:pic>
              </a:graphicData>
            </a:graphic>
          </wp:inline>
        </w:drawing>
      </w:r>
    </w:p>
    <w:p w14:paraId="4F66A0A6" w14:textId="77777777" w:rsidR="005D12F7" w:rsidRPr="00934136" w:rsidRDefault="005D12F7" w:rsidP="005D12F7">
      <w:pPr>
        <w:pStyle w:val="BodyText"/>
      </w:pPr>
      <w:r w:rsidRPr="00934136">
        <w:rPr>
          <w:rStyle w:val="Strong"/>
        </w:rPr>
        <w:t>Nicole Rich</w:t>
      </w:r>
      <w:r w:rsidRPr="00934136">
        <w:br/>
        <w:t xml:space="preserve">Executive Director, Regulatory Services &amp; </w:t>
      </w:r>
      <w:r w:rsidRPr="00934136">
        <w:br/>
        <w:t>Director, Consumer Affairs Victoria</w:t>
      </w:r>
    </w:p>
    <w:p w14:paraId="2F2DD9B2" w14:textId="77777777" w:rsidR="005D12F7" w:rsidRPr="00934136" w:rsidRDefault="005D12F7" w:rsidP="005D12F7">
      <w:pPr>
        <w:pStyle w:val="Heading2"/>
      </w:pPr>
      <w:bookmarkStart w:id="1" w:name="_Toc181015727"/>
      <w:r w:rsidRPr="00934136">
        <w:lastRenderedPageBreak/>
        <w:t>Director’s foreword</w:t>
      </w:r>
      <w:bookmarkEnd w:id="1"/>
    </w:p>
    <w:p w14:paraId="257E0716" w14:textId="77777777" w:rsidR="006157B7" w:rsidRDefault="006157B7" w:rsidP="006157B7">
      <w:pPr>
        <w:pStyle w:val="BodyText"/>
      </w:pPr>
      <w:r>
        <w:rPr>
          <w:noProof/>
        </w:rPr>
        <w:drawing>
          <wp:inline distT="0" distB="0" distL="0" distR="0" wp14:anchorId="6EE2A12B" wp14:editId="074DE815">
            <wp:extent cx="1800000" cy="1804680"/>
            <wp:effectExtent l="0" t="0" r="0" b="5080"/>
            <wp:docPr id="11" name="Picture 11" descr="Photo of Nicole 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hoto of Nicole Rich"/>
                    <pic:cNvPicPr/>
                  </pic:nvPicPr>
                  <pic:blipFill>
                    <a:blip r:embed="rId16">
                      <a:extLst>
                        <a:ext uri="{28A0092B-C50C-407E-A947-70E740481C1C}">
                          <a14:useLocalDpi xmlns:a14="http://schemas.microsoft.com/office/drawing/2010/main" val="0"/>
                        </a:ext>
                      </a:extLst>
                    </a:blip>
                    <a:stretch>
                      <a:fillRect/>
                    </a:stretch>
                  </pic:blipFill>
                  <pic:spPr>
                    <a:xfrm>
                      <a:off x="0" y="0"/>
                      <a:ext cx="1800000" cy="1804680"/>
                    </a:xfrm>
                    <a:prstGeom prst="rect">
                      <a:avLst/>
                    </a:prstGeom>
                  </pic:spPr>
                </pic:pic>
              </a:graphicData>
            </a:graphic>
          </wp:inline>
        </w:drawing>
      </w:r>
    </w:p>
    <w:p w14:paraId="0D054FE5" w14:textId="74B9DB3A" w:rsidR="005D12F7" w:rsidRPr="00934136" w:rsidRDefault="005D12F7" w:rsidP="005D12F7">
      <w:pPr>
        <w:pStyle w:val="BodyText"/>
      </w:pPr>
      <w:r w:rsidRPr="00934136">
        <w:t>In 2023–24 Consumer Affairs Victoria (CAV) supported Victorians facing cost of living, housing and rental pressures, while maintaining its activities directed at ensuring a fair, safe and competitive marketplace.</w:t>
      </w:r>
    </w:p>
    <w:p w14:paraId="1FD6A995" w14:textId="1C744DE3" w:rsidR="005D12F7" w:rsidRPr="00934136" w:rsidRDefault="005D12F7" w:rsidP="005D12F7">
      <w:pPr>
        <w:pStyle w:val="BodyText"/>
      </w:pPr>
      <w:r w:rsidRPr="00934136">
        <w:t>Our new 2023–26 strategic plan, launched in October, guided us in directing our resources to best</w:t>
      </w:r>
      <w:r w:rsidR="00AD1B0A">
        <w:t> </w:t>
      </w:r>
      <w:r w:rsidRPr="00934136">
        <w:t>help Victorians doing i</w:t>
      </w:r>
      <w:r w:rsidR="00EB6E61">
        <w:t>t</w:t>
      </w:r>
      <w:r w:rsidRPr="00934136">
        <w:t xml:space="preserve"> tough, while ensuring that our regulatory oversight stayed robust and</w:t>
      </w:r>
      <w:r w:rsidR="00CD1FD7">
        <w:t> </w:t>
      </w:r>
      <w:r w:rsidRPr="00934136">
        <w:t xml:space="preserve">impactful. We </w:t>
      </w:r>
      <w:r w:rsidR="00CD1FD7">
        <w:t xml:space="preserve">reinforced </w:t>
      </w:r>
      <w:r w:rsidRPr="00934136">
        <w:t>many of our existing support services for consumers, renters and businesses, while delivering initiatives such as the underquoting and renting taskforces and stakeholder engagement activities.</w:t>
      </w:r>
    </w:p>
    <w:p w14:paraId="0934851C" w14:textId="5A3C7CA8" w:rsidR="005D12F7" w:rsidRPr="00934136" w:rsidRDefault="005D12F7" w:rsidP="005D12F7">
      <w:pPr>
        <w:pStyle w:val="BodyText"/>
      </w:pPr>
      <w:r w:rsidRPr="00934136">
        <w:t>We supported Victorians to exercise their consumer rights, providing advice and information through multiple channels. We ran several education and communications campaigns in 2023–24, including on</w:t>
      </w:r>
      <w:r w:rsidR="006157B7">
        <w:t> </w:t>
      </w:r>
      <w:r w:rsidRPr="00934136">
        <w:t>underquoting, renting and domestic building, to increase people’s understanding and confidence in</w:t>
      </w:r>
      <w:r w:rsidR="006157B7">
        <w:t> </w:t>
      </w:r>
      <w:r w:rsidRPr="00934136">
        <w:t>their rights and responsibilities and how to contact us for further help. In 2023–24 CAV’s contact centre answered 220,741 calls and responded to 80,040 online or written enquiries, and our CAV website received over 7 million visits.</w:t>
      </w:r>
    </w:p>
    <w:p w14:paraId="3EE33DB1" w14:textId="77777777" w:rsidR="005D12F7" w:rsidRPr="00934136" w:rsidRDefault="005D12F7" w:rsidP="005D12F7">
      <w:pPr>
        <w:pStyle w:val="BodyText"/>
      </w:pPr>
      <w:r w:rsidRPr="00934136">
        <w:t xml:space="preserve">CAV’s community programs played an important role in helping Victorians who are dealing with financial hardship. CAV provided $16.7 million in funding to the Financial Counselling Program in </w:t>
      </w:r>
      <w:r w:rsidRPr="00934136">
        <w:br/>
        <w:t>2023–24, enabling community service partners to support more than 19,000 clients get their finances back on track with free and independent financial counselling services delivered across the state.</w:t>
      </w:r>
    </w:p>
    <w:p w14:paraId="2EC283D2" w14:textId="25BD1AB7" w:rsidR="005D12F7" w:rsidRPr="00934136" w:rsidRDefault="005D12F7" w:rsidP="005D12F7">
      <w:pPr>
        <w:pStyle w:val="BodyText"/>
      </w:pPr>
      <w:r w:rsidRPr="00934136">
        <w:t>People experiencing family violence were supported through specialised financial counselling services, provided to 4,164 Victorians. Flood financial counselling services for Victorians impacted by</w:t>
      </w:r>
      <w:r w:rsidR="006157B7">
        <w:t> </w:t>
      </w:r>
      <w:r w:rsidRPr="00934136">
        <w:t>the October 2022 floods were also extended.</w:t>
      </w:r>
    </w:p>
    <w:p w14:paraId="7747E4EE" w14:textId="140CCED4" w:rsidR="005D12F7" w:rsidRPr="00934136" w:rsidRDefault="005D12F7" w:rsidP="005D12F7">
      <w:pPr>
        <w:pStyle w:val="BodyText"/>
      </w:pPr>
      <w:r w:rsidRPr="00934136">
        <w:t xml:space="preserve">We responded to Victoria’s rental market pressures with a slew of new initiatives and </w:t>
      </w:r>
      <w:r w:rsidR="00CD1FD7">
        <w:t xml:space="preserve">reinforced </w:t>
      </w:r>
      <w:r w:rsidRPr="00934136">
        <w:t>services. In March 2024 the Government announced a new renting taskforce within CAV, to detect and deter non-compliance with rental laws designed to protect renters’ rights. The renting taskforce uses a risk-based, intelligence-led compliance program to crack down on rental law offences but also engages with the community to promote compliance through public education and communications about rental rights and regulatory actions.</w:t>
      </w:r>
    </w:p>
    <w:p w14:paraId="1C266FE8" w14:textId="77777777" w:rsidR="005D12F7" w:rsidRPr="00934136" w:rsidRDefault="005D12F7" w:rsidP="005D12F7">
      <w:pPr>
        <w:pStyle w:val="BodyText"/>
      </w:pPr>
      <w:r w:rsidRPr="00934136">
        <w:t xml:space="preserve">We provided information and advice on renting via our website and through phone and online enquiries. In 2023–24, CAV answered 66,231 calls in relation to rental enquiries, while the renting section on the CAV website received over 4.9 million visits. Demand for rent investigations also continued to increase and we responded to 7,469 rent investigation requests this year, up 37 per cent </w:t>
      </w:r>
      <w:r w:rsidRPr="00934136">
        <w:lastRenderedPageBreak/>
        <w:t>on last year, itself a 122 per cent increase on the year before. While growth in this service slowed, the continued increase reflects the ongoing challenges many Victorian renters faced with rent increases.</w:t>
      </w:r>
    </w:p>
    <w:p w14:paraId="099FCB0F" w14:textId="77777777" w:rsidR="005D12F7" w:rsidRPr="00934136" w:rsidRDefault="005D12F7" w:rsidP="005D12F7">
      <w:pPr>
        <w:pStyle w:val="BodyText"/>
      </w:pPr>
      <w:r w:rsidRPr="00934136">
        <w:t>CAV also provided renters with help through our Tenancy Assistance and Advocacy Program and Retirement Housing Assistance and Advocacy Program, under which community organisations supported over 9,000 renters and residents in 2023–24.</w:t>
      </w:r>
    </w:p>
    <w:p w14:paraId="523DC5A1" w14:textId="7563E5FD" w:rsidR="005D12F7" w:rsidRPr="00934136" w:rsidRDefault="005D12F7" w:rsidP="005D12F7">
      <w:pPr>
        <w:pStyle w:val="BodyText"/>
      </w:pPr>
      <w:r w:rsidRPr="00934136">
        <w:t>Under its Housing Statement released in September 2023, the Victorian Government announced a</w:t>
      </w:r>
      <w:r w:rsidR="00846760">
        <w:t> </w:t>
      </w:r>
      <w:r w:rsidRPr="00934136">
        <w:t>new Rental Stress Support Package to help address the high demand for rental assistance that organisations who work to prevent homelessness and help renters stay in their homes are seeing. CAV supported the rollout of this package and in May 2024, the Government announced it had allocated $7.8 million across three years from 2023–24 to 2025–26 to nine not-for-profit community service organisations to increase the delivery of renter services.</w:t>
      </w:r>
    </w:p>
    <w:p w14:paraId="26D3A0C2" w14:textId="6C20EBB1" w:rsidR="005D12F7" w:rsidRPr="00934136" w:rsidRDefault="005D12F7" w:rsidP="005D12F7">
      <w:pPr>
        <w:pStyle w:val="BodyText"/>
      </w:pPr>
      <w:r w:rsidRPr="00934136">
        <w:t>CAV also released new regulatory priorities and throughout the year, CAV engaged in risk-based, intelligence-led compliance activities to ensure fair and safe trading. In addition to the establishment of</w:t>
      </w:r>
      <w:r w:rsidR="00846760">
        <w:t> </w:t>
      </w:r>
      <w:r w:rsidRPr="00934136">
        <w:t>the renting taskforce, we took a ‘zero tolerance’ approach to underquoting through our underquoting taskforce. The underquoting taskforce issued 89 infringements and 128 official warnings, totalling $1,001,720 in fines, in 2023–24. This has helped to ensure a fairer property market for buyers and for</w:t>
      </w:r>
      <w:r w:rsidR="00846760">
        <w:t> </w:t>
      </w:r>
      <w:r w:rsidRPr="00934136">
        <w:t>estate agents doing the right thing.</w:t>
      </w:r>
    </w:p>
    <w:p w14:paraId="1FCB0234" w14:textId="717ED088" w:rsidR="005D12F7" w:rsidRPr="00934136" w:rsidRDefault="005D12F7" w:rsidP="005D12F7">
      <w:pPr>
        <w:pStyle w:val="BodyText"/>
      </w:pPr>
      <w:r w:rsidRPr="00934136">
        <w:t>We also continued our focus on stamping out failures by estate agents or conveyancers to lodge annual audits of trust accounts, helping to guarantee that trust funds are not misused or stolen. We</w:t>
      </w:r>
      <w:r w:rsidR="00846760">
        <w:t> </w:t>
      </w:r>
      <w:r w:rsidRPr="00934136">
        <w:t xml:space="preserve">took disciplinary action against professionals who failed to submit their audit reports. Our </w:t>
      </w:r>
      <w:r w:rsidR="00330156">
        <w:t xml:space="preserve">continued </w:t>
      </w:r>
      <w:r w:rsidRPr="00934136">
        <w:t>focus on ensuring rooming houses comply with their mandatory safety and amenity standards led to an increase in inspections in 2023–24 and a range of actions to secure compliance and rectification of</w:t>
      </w:r>
      <w:r w:rsidR="00846760">
        <w:t> </w:t>
      </w:r>
      <w:r w:rsidRPr="00934136">
        <w:t>any breaches.</w:t>
      </w:r>
    </w:p>
    <w:p w14:paraId="4A20428E" w14:textId="1EE76BBF" w:rsidR="005D12F7" w:rsidRPr="00934136" w:rsidRDefault="005D12F7" w:rsidP="005D12F7">
      <w:pPr>
        <w:pStyle w:val="BodyText"/>
      </w:pPr>
      <w:r w:rsidRPr="00934136">
        <w:t>Our regulatory priorities include keeping Victorians, especially children, safe from consumer products</w:t>
      </w:r>
      <w:r w:rsidR="00885906">
        <w:t> </w:t>
      </w:r>
      <w:r w:rsidRPr="00934136">
        <w:t>presenting risks of harm. CAV inspectors played a critical role in keeping the community safe, inspecting 425 stores, issuing 8 infringements, 131 official warnings and receiving 65 voluntary undertakings to remove dangerous products from sale.</w:t>
      </w:r>
    </w:p>
    <w:p w14:paraId="52A62E3B" w14:textId="77777777" w:rsidR="005D12F7" w:rsidRPr="00934136" w:rsidRDefault="005D12F7" w:rsidP="005D12F7">
      <w:pPr>
        <w:pStyle w:val="BodyText"/>
      </w:pPr>
      <w:r w:rsidRPr="00934136">
        <w:t>More generally, our increase in targeted compliance activities led to over 900 court and administrative actions. We commenced 14 new court and tribunal proceedings in 2023–24 in response to serious alleged offending or non-compliance.</w:t>
      </w:r>
    </w:p>
    <w:p w14:paraId="4C4875CF" w14:textId="13B656E6" w:rsidR="005D12F7" w:rsidRPr="00934136" w:rsidRDefault="005D12F7" w:rsidP="005D12F7">
      <w:pPr>
        <w:pStyle w:val="BodyText"/>
      </w:pPr>
      <w:r w:rsidRPr="00934136">
        <w:t>CAV is committed to using digital technologies to enhance our services and optimise our data and</w:t>
      </w:r>
      <w:r w:rsidR="006157B7">
        <w:t> </w:t>
      </w:r>
      <w:r w:rsidRPr="00934136">
        <w:t>resources. In late 2023, CAV completed a significant website upgrade. This made it easier for Victorians to find consumer and renting information online, and we saw a meaningful increase in traffic to the CAV website in 2023–24, with 7.21 million visits in 2023–24 (up 27 per cent from 2022–23). This represents thousands of Victorians seeking and finding advice on renting questions, consumer issues and many other topics. We also continued to implement changes to our licensing and registration online systems to make it easier and faster for businesses, professionals and community groups to manage their regulatory obligations with us.</w:t>
      </w:r>
    </w:p>
    <w:p w14:paraId="12DC6104" w14:textId="0FFF16B1" w:rsidR="005D12F7" w:rsidRPr="00934136" w:rsidRDefault="005D12F7" w:rsidP="005D12F7">
      <w:pPr>
        <w:pStyle w:val="BodyText"/>
      </w:pPr>
      <w:r w:rsidRPr="00934136">
        <w:t>Good stakeholder engagement helps us to understand what is happening in the marketplace and</w:t>
      </w:r>
      <w:r w:rsidR="00CE659C">
        <w:t> </w:t>
      </w:r>
      <w:r w:rsidRPr="00934136">
        <w:t xml:space="preserve">deliver better services and regulatory responses to the Victorian community. We launched our </w:t>
      </w:r>
      <w:r w:rsidR="00CE659C" w:rsidRPr="006A3E90">
        <w:t>new</w:t>
      </w:r>
      <w:r w:rsidR="00CE659C" w:rsidRPr="00DD0EFA">
        <w:t xml:space="preserve"> </w:t>
      </w:r>
      <w:r w:rsidRPr="00934136">
        <w:t>Stakeholder Engagement Framework in June to make clear our commitment and approach to engagement and established two standing forums to hear from key stakeholders on important issues.</w:t>
      </w:r>
    </w:p>
    <w:p w14:paraId="2B828FA0" w14:textId="3FA70DA5" w:rsidR="005D12F7" w:rsidRPr="00934136" w:rsidRDefault="005D12F7" w:rsidP="005D12F7">
      <w:pPr>
        <w:pStyle w:val="BodyText"/>
      </w:pPr>
      <w:r w:rsidRPr="00934136">
        <w:lastRenderedPageBreak/>
        <w:t>As part of our commitment to engaging with the Aboriginal community and improving access to culturally safe and inclusive services, we introduced a new Aboriginal Community Engagement Lead</w:t>
      </w:r>
      <w:r w:rsidR="006157B7">
        <w:t> </w:t>
      </w:r>
      <w:r w:rsidRPr="00934136">
        <w:t>role in October 2023. Our Lead will help us align our services to the needs of First Nations communities.</w:t>
      </w:r>
    </w:p>
    <w:p w14:paraId="4ACCB74E" w14:textId="77777777" w:rsidR="005D12F7" w:rsidRPr="00934136" w:rsidRDefault="005D12F7" w:rsidP="005D12F7">
      <w:pPr>
        <w:pStyle w:val="BodyText"/>
      </w:pPr>
      <w:r w:rsidRPr="00934136">
        <w:t>I would like to thank the Minister for Consumer Affairs, Gabrielle Williams MP and our former Minister, the Hon Danny Pearson MP, for their support over the year covered by this report. I acknowledge our partners in the Department of Government Services and across the Victorian government who provide crucial support and collaboration for our work.</w:t>
      </w:r>
    </w:p>
    <w:p w14:paraId="2AA0FE6F" w14:textId="0C29348F" w:rsidR="005D12F7" w:rsidRPr="00934136" w:rsidRDefault="005D12F7" w:rsidP="005D12F7">
      <w:pPr>
        <w:pStyle w:val="BodyText"/>
      </w:pPr>
      <w:r w:rsidRPr="00934136">
        <w:t>I would also like to thank our colleagues in funded community service partners working hard every day</w:t>
      </w:r>
      <w:r w:rsidR="006157B7">
        <w:t> </w:t>
      </w:r>
      <w:r w:rsidRPr="00934136">
        <w:t>to provide advice, support and advocacy to Victorians facing challenges with their finances, housing or other consumer issues. Lastly, I thank our staff for their dedication to helping and protecting Victorians, and for their perseverance and hard work in this effort.</w:t>
      </w:r>
    </w:p>
    <w:p w14:paraId="7D4DACA8" w14:textId="77777777" w:rsidR="005D12F7" w:rsidRPr="00934136" w:rsidRDefault="005D12F7" w:rsidP="005D12F7">
      <w:pPr>
        <w:pStyle w:val="BodyText"/>
      </w:pPr>
      <w:r w:rsidRPr="00934136">
        <w:t>In 2024–25 we look forward to continuing our focus on consumer and community engagement, enhanced digital and intelligence capabilities and inclusive and accessible services to deliver on our strategic plan and regulatory priorities and achieve positive outcomes for the Victorian community.</w:t>
      </w:r>
    </w:p>
    <w:p w14:paraId="2EA04B4E" w14:textId="77777777" w:rsidR="005D12F7" w:rsidRPr="00934136" w:rsidRDefault="005D12F7" w:rsidP="005D12F7">
      <w:pPr>
        <w:pStyle w:val="BodyText"/>
      </w:pPr>
      <w:r w:rsidRPr="00934136">
        <w:rPr>
          <w:rStyle w:val="Strong"/>
        </w:rPr>
        <w:t>Nicole Rich</w:t>
      </w:r>
      <w:r w:rsidRPr="00934136">
        <w:br/>
        <w:t xml:space="preserve">Executive Director, Regulatory Services &amp; </w:t>
      </w:r>
      <w:r w:rsidRPr="00934136">
        <w:br/>
        <w:t>Director, Consumer Affairs Victoria</w:t>
      </w:r>
    </w:p>
    <w:p w14:paraId="5675CC19" w14:textId="77777777" w:rsidR="005D12F7" w:rsidRPr="00934136" w:rsidRDefault="005D12F7" w:rsidP="005D12F7">
      <w:pPr>
        <w:pStyle w:val="Heading2"/>
      </w:pPr>
      <w:bookmarkStart w:id="2" w:name="_Toc181015728"/>
      <w:r w:rsidRPr="00934136">
        <w:lastRenderedPageBreak/>
        <w:t>About us</w:t>
      </w:r>
      <w:bookmarkEnd w:id="2"/>
    </w:p>
    <w:p w14:paraId="0023AFFB" w14:textId="77777777" w:rsidR="005D12F7" w:rsidRPr="00934136" w:rsidRDefault="005D12F7" w:rsidP="005D12F7">
      <w:pPr>
        <w:pStyle w:val="Heading3"/>
      </w:pPr>
      <w:bookmarkStart w:id="3" w:name="_Toc181015729"/>
      <w:r w:rsidRPr="00934136">
        <w:t>Values, vision, outcomes, functions, regulatory approach, stakeholder engagement framework</w:t>
      </w:r>
      <w:bookmarkEnd w:id="3"/>
    </w:p>
    <w:p w14:paraId="7422DBF0" w14:textId="71E8913E" w:rsidR="005D12F7" w:rsidRPr="00934136" w:rsidRDefault="005D12F7" w:rsidP="005D12F7">
      <w:pPr>
        <w:pStyle w:val="BodyText"/>
      </w:pPr>
      <w:r w:rsidRPr="00934136">
        <w:t>We are Victoria’s consumer marketplace regulator. We are part of the Consumer Affairs and Local Government</w:t>
      </w:r>
      <w:r w:rsidRPr="00934136">
        <w:rPr>
          <w:rFonts w:ascii="Times New Roman" w:hAnsi="Times New Roman" w:cs="Times New Roman"/>
        </w:rPr>
        <w:t> </w:t>
      </w:r>
      <w:r w:rsidRPr="00934136">
        <w:rPr>
          <w:rStyle w:val="FootnoteReference"/>
        </w:rPr>
        <w:footnoteReference w:id="2"/>
      </w:r>
      <w:r w:rsidRPr="00934136">
        <w:t xml:space="preserve"> group within the Department of Government Services</w:t>
      </w:r>
      <w:r w:rsidR="00E93D80">
        <w:t xml:space="preserve"> (DGS)</w:t>
      </w:r>
      <w:r w:rsidRPr="00934136">
        <w:t>.</w:t>
      </w:r>
    </w:p>
    <w:p w14:paraId="785C8963" w14:textId="77777777" w:rsidR="005D12F7" w:rsidRPr="00934136" w:rsidRDefault="005D12F7" w:rsidP="005D12F7">
      <w:pPr>
        <w:pStyle w:val="Heading4"/>
      </w:pPr>
      <w:r w:rsidRPr="00934136">
        <w:t>Our values</w:t>
      </w:r>
    </w:p>
    <w:p w14:paraId="110F854B" w14:textId="77777777" w:rsidR="005D12F7" w:rsidRPr="00934136" w:rsidRDefault="005D12F7" w:rsidP="005D12F7">
      <w:pPr>
        <w:pStyle w:val="BodyText"/>
      </w:pPr>
      <w:r w:rsidRPr="00934136">
        <w:t>At Consumer Affairs Victoria (CAV), we promote the Victorian Public Service values of:</w:t>
      </w:r>
    </w:p>
    <w:p w14:paraId="1B793822" w14:textId="77777777" w:rsidR="005D12F7" w:rsidRPr="00934136" w:rsidRDefault="005D12F7" w:rsidP="005D12F7">
      <w:pPr>
        <w:pStyle w:val="ListBullet"/>
      </w:pPr>
      <w:r w:rsidRPr="00934136">
        <w:t>responsiveness</w:t>
      </w:r>
    </w:p>
    <w:p w14:paraId="146B3870" w14:textId="77777777" w:rsidR="005D12F7" w:rsidRPr="00934136" w:rsidRDefault="005D12F7" w:rsidP="005D12F7">
      <w:pPr>
        <w:pStyle w:val="ListBullet"/>
      </w:pPr>
      <w:r w:rsidRPr="00934136">
        <w:t>integrity</w:t>
      </w:r>
    </w:p>
    <w:p w14:paraId="7060CA1F" w14:textId="77777777" w:rsidR="005D12F7" w:rsidRPr="00934136" w:rsidRDefault="005D12F7" w:rsidP="005D12F7">
      <w:pPr>
        <w:pStyle w:val="ListBullet"/>
      </w:pPr>
      <w:r w:rsidRPr="00934136">
        <w:t>impartiality</w:t>
      </w:r>
    </w:p>
    <w:p w14:paraId="4C36F242" w14:textId="77777777" w:rsidR="005D12F7" w:rsidRPr="00934136" w:rsidRDefault="005D12F7" w:rsidP="005D12F7">
      <w:pPr>
        <w:pStyle w:val="ListBullet"/>
      </w:pPr>
      <w:r w:rsidRPr="00934136">
        <w:t>accountability</w:t>
      </w:r>
    </w:p>
    <w:p w14:paraId="72F8B680" w14:textId="77777777" w:rsidR="005D12F7" w:rsidRPr="00934136" w:rsidRDefault="005D12F7" w:rsidP="005D12F7">
      <w:pPr>
        <w:pStyle w:val="ListBullet"/>
      </w:pPr>
      <w:r w:rsidRPr="00934136">
        <w:t>respect</w:t>
      </w:r>
    </w:p>
    <w:p w14:paraId="4A7E3540" w14:textId="77777777" w:rsidR="005D12F7" w:rsidRPr="00934136" w:rsidRDefault="005D12F7" w:rsidP="005D12F7">
      <w:pPr>
        <w:pStyle w:val="ListBullet"/>
      </w:pPr>
      <w:r w:rsidRPr="00934136">
        <w:t>leadership</w:t>
      </w:r>
    </w:p>
    <w:p w14:paraId="66CDAFB0" w14:textId="77777777" w:rsidR="005D12F7" w:rsidRPr="00934136" w:rsidRDefault="005D12F7" w:rsidP="005D12F7">
      <w:pPr>
        <w:pStyle w:val="ListBullet"/>
      </w:pPr>
      <w:r w:rsidRPr="00934136">
        <w:t>human rights.</w:t>
      </w:r>
    </w:p>
    <w:p w14:paraId="7BD9F22A" w14:textId="77777777" w:rsidR="005D12F7" w:rsidRPr="00934136" w:rsidRDefault="005D12F7" w:rsidP="005D12F7">
      <w:pPr>
        <w:pStyle w:val="BodyText"/>
      </w:pPr>
      <w:r w:rsidRPr="00934136">
        <w:t>These values inform the way we do business and are demonstrated every day through the actions of our staff.</w:t>
      </w:r>
    </w:p>
    <w:p w14:paraId="732C1F6E" w14:textId="77777777" w:rsidR="005D12F7" w:rsidRPr="00934136" w:rsidRDefault="005D12F7" w:rsidP="005D12F7">
      <w:pPr>
        <w:pStyle w:val="Heading4"/>
      </w:pPr>
      <w:r w:rsidRPr="00934136">
        <w:t>Our vision</w:t>
      </w:r>
    </w:p>
    <w:p w14:paraId="7EBEA7A2" w14:textId="77777777" w:rsidR="005D12F7" w:rsidRPr="00934136" w:rsidRDefault="005D12F7" w:rsidP="005D12F7">
      <w:pPr>
        <w:pStyle w:val="BodyText"/>
      </w:pPr>
      <w:r w:rsidRPr="00934136">
        <w:t>A fair, safe and competitive marketplace in Victoria.</w:t>
      </w:r>
    </w:p>
    <w:p w14:paraId="7331E89C" w14:textId="77777777" w:rsidR="005D12F7" w:rsidRPr="00934136" w:rsidRDefault="005D12F7" w:rsidP="005D12F7">
      <w:pPr>
        <w:pStyle w:val="Heading4"/>
      </w:pPr>
      <w:r w:rsidRPr="00934136">
        <w:t>Our outcomes</w:t>
      </w:r>
    </w:p>
    <w:p w14:paraId="5CB5A520" w14:textId="77777777" w:rsidR="005D12F7" w:rsidRPr="00934136" w:rsidRDefault="005D12F7" w:rsidP="005D12F7">
      <w:pPr>
        <w:pStyle w:val="ListBullet"/>
      </w:pPr>
      <w:r w:rsidRPr="00934136">
        <w:t>Victorians exercise their consumer rights</w:t>
      </w:r>
    </w:p>
    <w:p w14:paraId="3F8CB197" w14:textId="77777777" w:rsidR="005D12F7" w:rsidRPr="00934136" w:rsidRDefault="005D12F7" w:rsidP="005D12F7">
      <w:pPr>
        <w:pStyle w:val="ListBullet"/>
      </w:pPr>
      <w:r w:rsidRPr="00934136">
        <w:t>Businesses and rental providers do the right thing</w:t>
      </w:r>
    </w:p>
    <w:p w14:paraId="1385B617" w14:textId="77777777" w:rsidR="005D12F7" w:rsidRPr="00934136" w:rsidRDefault="005D12F7" w:rsidP="005D12F7">
      <w:pPr>
        <w:pStyle w:val="ListBullet"/>
      </w:pPr>
      <w:r w:rsidRPr="00934136">
        <w:t>CAV is a trusted regulator</w:t>
      </w:r>
    </w:p>
    <w:p w14:paraId="0BA747BB" w14:textId="77777777" w:rsidR="005D12F7" w:rsidRPr="00934136" w:rsidRDefault="005D12F7" w:rsidP="005D12F7">
      <w:pPr>
        <w:pStyle w:val="Heading4"/>
      </w:pPr>
      <w:r w:rsidRPr="00934136">
        <w:t>Our functions</w:t>
      </w:r>
    </w:p>
    <w:p w14:paraId="2B778D54" w14:textId="77777777" w:rsidR="005D12F7" w:rsidRPr="00934136" w:rsidRDefault="005D12F7" w:rsidP="005D12F7">
      <w:pPr>
        <w:pStyle w:val="BodyText"/>
      </w:pPr>
      <w:r w:rsidRPr="00934136">
        <w:t>We provide:</w:t>
      </w:r>
    </w:p>
    <w:p w14:paraId="2475926E" w14:textId="77777777" w:rsidR="005D12F7" w:rsidRPr="00934136" w:rsidRDefault="005D12F7" w:rsidP="005D12F7">
      <w:pPr>
        <w:pStyle w:val="ListBullet"/>
      </w:pPr>
      <w:r w:rsidRPr="00934136">
        <w:t>information, advice, and rental services</w:t>
      </w:r>
    </w:p>
    <w:p w14:paraId="4D7F414E" w14:textId="77777777" w:rsidR="005D12F7" w:rsidRPr="00934136" w:rsidRDefault="005D12F7" w:rsidP="005D12F7">
      <w:pPr>
        <w:pStyle w:val="ListBullet"/>
      </w:pPr>
      <w:r w:rsidRPr="00934136">
        <w:t>assistance and advocacy services through funded community programs</w:t>
      </w:r>
    </w:p>
    <w:p w14:paraId="25F921C8" w14:textId="77777777" w:rsidR="005D12F7" w:rsidRPr="00934136" w:rsidRDefault="005D12F7" w:rsidP="005D12F7">
      <w:pPr>
        <w:pStyle w:val="ListBullet"/>
      </w:pPr>
      <w:r w:rsidRPr="00934136">
        <w:t>compliance and enforcement activities</w:t>
      </w:r>
    </w:p>
    <w:p w14:paraId="6191C454" w14:textId="77777777" w:rsidR="005D12F7" w:rsidRPr="00934136" w:rsidRDefault="005D12F7" w:rsidP="005D12F7">
      <w:pPr>
        <w:pStyle w:val="ListBullet"/>
      </w:pPr>
      <w:r w:rsidRPr="00934136">
        <w:t>sector-specific regulation under Victorian registration and licensing schemes</w:t>
      </w:r>
    </w:p>
    <w:p w14:paraId="3025C014" w14:textId="77777777" w:rsidR="005D12F7" w:rsidRPr="00934136" w:rsidRDefault="005D12F7" w:rsidP="005D12F7">
      <w:pPr>
        <w:pStyle w:val="ListBullet"/>
      </w:pPr>
      <w:r w:rsidRPr="00934136">
        <w:t>referrals to dispute resolution services</w:t>
      </w:r>
    </w:p>
    <w:p w14:paraId="334698E2" w14:textId="77777777" w:rsidR="005D12F7" w:rsidRPr="00934136" w:rsidRDefault="005D12F7" w:rsidP="005D12F7">
      <w:pPr>
        <w:pStyle w:val="ListBullet"/>
      </w:pPr>
      <w:r w:rsidRPr="00934136">
        <w:t>support for legislation and policy development.</w:t>
      </w:r>
    </w:p>
    <w:p w14:paraId="3663D2DF" w14:textId="77777777" w:rsidR="005D12F7" w:rsidRPr="00934136" w:rsidRDefault="005D12F7" w:rsidP="005D12F7">
      <w:pPr>
        <w:pStyle w:val="BodyText"/>
        <w:keepNext/>
      </w:pPr>
      <w:r w:rsidRPr="00934136">
        <w:lastRenderedPageBreak/>
        <w:t>We also support these independent statutory offices and bodies:</w:t>
      </w:r>
    </w:p>
    <w:p w14:paraId="2E9D7467" w14:textId="77777777" w:rsidR="005D12F7" w:rsidRPr="00934136" w:rsidRDefault="005D12F7" w:rsidP="005D12F7">
      <w:pPr>
        <w:pStyle w:val="ListBullet"/>
      </w:pPr>
      <w:r w:rsidRPr="00934136">
        <w:t>Motor Car Traders Claims Committee</w:t>
      </w:r>
    </w:p>
    <w:p w14:paraId="69876084" w14:textId="77777777" w:rsidR="005D12F7" w:rsidRPr="00934136" w:rsidRDefault="005D12F7" w:rsidP="005D12F7">
      <w:pPr>
        <w:pStyle w:val="ListBullet"/>
      </w:pPr>
      <w:r w:rsidRPr="00934136">
        <w:t>Residential Tenancies Bond Authority</w:t>
      </w:r>
    </w:p>
    <w:p w14:paraId="098EA4A3" w14:textId="77777777" w:rsidR="005D12F7" w:rsidRPr="00934136" w:rsidRDefault="005D12F7" w:rsidP="005D12F7">
      <w:pPr>
        <w:pStyle w:val="ListBullet"/>
      </w:pPr>
      <w:r w:rsidRPr="00934136">
        <w:t>Business Licensing Authority.</w:t>
      </w:r>
    </w:p>
    <w:p w14:paraId="404EBE48" w14:textId="77777777" w:rsidR="005D12F7" w:rsidRPr="00934136" w:rsidRDefault="005D12F7" w:rsidP="005D12F7">
      <w:pPr>
        <w:pStyle w:val="ListBullet"/>
      </w:pPr>
      <w:r w:rsidRPr="00934136">
        <w:t>Estate Agents Council</w:t>
      </w:r>
      <w:r w:rsidRPr="00934136">
        <w:rPr>
          <w:rFonts w:ascii="Times New Roman" w:hAnsi="Times New Roman" w:cs="Times New Roman"/>
        </w:rPr>
        <w:t> </w:t>
      </w:r>
      <w:r w:rsidRPr="00934136">
        <w:rPr>
          <w:rStyle w:val="FootnoteReference"/>
        </w:rPr>
        <w:footnoteReference w:id="3"/>
      </w:r>
    </w:p>
    <w:p w14:paraId="27E6AB6C" w14:textId="77777777" w:rsidR="005D12F7" w:rsidRPr="00934136" w:rsidRDefault="005D12F7" w:rsidP="005D12F7">
      <w:pPr>
        <w:pStyle w:val="Heading4"/>
      </w:pPr>
      <w:r w:rsidRPr="00934136">
        <w:t>Our regulatory approach</w:t>
      </w:r>
    </w:p>
    <w:p w14:paraId="574B0ADA" w14:textId="77777777" w:rsidR="005D12F7" w:rsidRPr="00934136" w:rsidRDefault="005D12F7" w:rsidP="005D12F7">
      <w:pPr>
        <w:pStyle w:val="BodyText"/>
      </w:pPr>
      <w:r w:rsidRPr="00934136">
        <w:t>Our regulatory approach is intelligence-led, risk-based and outcome-focused. This enables us to target conduct posing the highest risk to Victorians, making the best use of our available resources. Our compliance operating model embeds this approach in our work.</w:t>
      </w:r>
    </w:p>
    <w:p w14:paraId="74EC2502" w14:textId="77777777" w:rsidR="005D12F7" w:rsidRPr="00934136" w:rsidRDefault="005D12F7" w:rsidP="005D12F7">
      <w:pPr>
        <w:pStyle w:val="Heading5"/>
      </w:pPr>
      <w:r w:rsidRPr="00934136">
        <w:t>Intelligence-led</w:t>
      </w:r>
    </w:p>
    <w:p w14:paraId="2254B96F" w14:textId="77777777" w:rsidR="005D12F7" w:rsidRPr="00934136" w:rsidRDefault="005D12F7" w:rsidP="005D12F7">
      <w:pPr>
        <w:pStyle w:val="BodyText"/>
      </w:pPr>
      <w:r w:rsidRPr="00934136">
        <w:t>Effective use of intelligence to inform decision-making is an important part of our regulatory approach.</w:t>
      </w:r>
    </w:p>
    <w:p w14:paraId="275AACF8" w14:textId="77777777" w:rsidR="005D12F7" w:rsidRPr="00934136" w:rsidRDefault="005D12F7" w:rsidP="005D12F7">
      <w:pPr>
        <w:pStyle w:val="BodyText"/>
      </w:pPr>
      <w:r w:rsidRPr="00934136">
        <w:t>We supplemented intelligence gathered over the course of our work with other sources, including:</w:t>
      </w:r>
    </w:p>
    <w:p w14:paraId="5CAA712C" w14:textId="77777777" w:rsidR="005D12F7" w:rsidRPr="00934136" w:rsidRDefault="005D12F7" w:rsidP="005D12F7">
      <w:pPr>
        <w:pStyle w:val="ListBullet"/>
      </w:pPr>
      <w:r w:rsidRPr="00934136">
        <w:t>national information shared among Australian Consumer Law regulators</w:t>
      </w:r>
    </w:p>
    <w:p w14:paraId="11C47EFA" w14:textId="77777777" w:rsidR="005D12F7" w:rsidRPr="00934136" w:rsidRDefault="005D12F7" w:rsidP="005D12F7">
      <w:pPr>
        <w:pStyle w:val="ListBullet"/>
      </w:pPr>
      <w:r w:rsidRPr="00934136">
        <w:t>local councils</w:t>
      </w:r>
    </w:p>
    <w:p w14:paraId="3A47F611" w14:textId="77777777" w:rsidR="005D12F7" w:rsidRPr="00934136" w:rsidRDefault="005D12F7" w:rsidP="005D12F7">
      <w:pPr>
        <w:pStyle w:val="ListBullet"/>
      </w:pPr>
      <w:r w:rsidRPr="00934136">
        <w:t>law enforcement organisations and other regulatory agencies</w:t>
      </w:r>
    </w:p>
    <w:p w14:paraId="75B7BB52" w14:textId="77777777" w:rsidR="005D12F7" w:rsidRPr="00934136" w:rsidRDefault="005D12F7" w:rsidP="005D12F7">
      <w:pPr>
        <w:pStyle w:val="ListBullet"/>
      </w:pPr>
      <w:r w:rsidRPr="00934136">
        <w:t>industry and community stakeholders</w:t>
      </w:r>
    </w:p>
    <w:p w14:paraId="249A2E21" w14:textId="77777777" w:rsidR="005D12F7" w:rsidRPr="00934136" w:rsidRDefault="005D12F7" w:rsidP="005D12F7">
      <w:pPr>
        <w:pStyle w:val="ListBullet"/>
      </w:pPr>
      <w:r w:rsidRPr="00934136">
        <w:t>media, online forums and social media</w:t>
      </w:r>
    </w:p>
    <w:p w14:paraId="49E86CD9" w14:textId="77777777" w:rsidR="005D12F7" w:rsidRPr="00934136" w:rsidRDefault="005D12F7" w:rsidP="005D12F7">
      <w:pPr>
        <w:pStyle w:val="ListBullet"/>
      </w:pPr>
      <w:r w:rsidRPr="00934136">
        <w:t>business reporting requirements.</w:t>
      </w:r>
    </w:p>
    <w:p w14:paraId="74A497E5" w14:textId="77777777" w:rsidR="005D12F7" w:rsidRPr="00934136" w:rsidRDefault="005D12F7" w:rsidP="005D12F7">
      <w:pPr>
        <w:pStyle w:val="BodyText"/>
      </w:pPr>
      <w:r w:rsidRPr="00934136">
        <w:t>For example, information in auditors’ reports on estate agent trust accounts alerts us to businesses that may have problematic practices, helping us prioritise inspections.</w:t>
      </w:r>
    </w:p>
    <w:p w14:paraId="69642EF0" w14:textId="77777777" w:rsidR="005D12F7" w:rsidRPr="00934136" w:rsidRDefault="005D12F7" w:rsidP="005D12F7">
      <w:pPr>
        <w:pStyle w:val="BodyText"/>
      </w:pPr>
      <w:r w:rsidRPr="00934136">
        <w:t>We also receive reports from consumers and their representatives about business conduct or potential breaches of the law. While we do not pursue all these individually, we use them as vital sources of intelligence to help assess risks and act as appropriate.</w:t>
      </w:r>
    </w:p>
    <w:p w14:paraId="4369AC0B" w14:textId="77777777" w:rsidR="005D12F7" w:rsidRPr="00934136" w:rsidRDefault="005D12F7" w:rsidP="005D12F7">
      <w:pPr>
        <w:pStyle w:val="Heading5"/>
      </w:pPr>
      <w:r w:rsidRPr="00934136">
        <w:t>Risk-based</w:t>
      </w:r>
    </w:p>
    <w:p w14:paraId="47F9E954" w14:textId="77777777" w:rsidR="005D12F7" w:rsidRPr="00934136" w:rsidRDefault="005D12F7" w:rsidP="005D12F7">
      <w:pPr>
        <w:pStyle w:val="BodyText"/>
      </w:pPr>
      <w:r w:rsidRPr="00934136">
        <w:t>Where possible, we aim to identify and treat risks before they lead to actual consumer harm.</w:t>
      </w:r>
    </w:p>
    <w:p w14:paraId="5979125B" w14:textId="77777777" w:rsidR="005D12F7" w:rsidRPr="00934136" w:rsidRDefault="005D12F7" w:rsidP="005D12F7">
      <w:pPr>
        <w:pStyle w:val="BodyText"/>
      </w:pPr>
      <w:r w:rsidRPr="00934136">
        <w:t>Regulatory risks are market behaviours that:</w:t>
      </w:r>
    </w:p>
    <w:p w14:paraId="14C21AE8" w14:textId="77777777" w:rsidR="005D12F7" w:rsidRPr="00934136" w:rsidRDefault="005D12F7" w:rsidP="005D12F7">
      <w:pPr>
        <w:pStyle w:val="ListBullet"/>
      </w:pPr>
      <w:r w:rsidRPr="00934136">
        <w:t>represent non-compliance with the laws we administer</w:t>
      </w:r>
    </w:p>
    <w:p w14:paraId="758EF4B2" w14:textId="77777777" w:rsidR="005D12F7" w:rsidRPr="00934136" w:rsidRDefault="005D12F7" w:rsidP="005D12F7">
      <w:pPr>
        <w:pStyle w:val="ListBullet"/>
      </w:pPr>
      <w:r w:rsidRPr="00934136">
        <w:t>present potential or actual consumer harm</w:t>
      </w:r>
    </w:p>
    <w:p w14:paraId="084E3645" w14:textId="77777777" w:rsidR="005D12F7" w:rsidRPr="00934136" w:rsidRDefault="005D12F7" w:rsidP="005D12F7">
      <w:pPr>
        <w:pStyle w:val="ListBullet"/>
      </w:pPr>
      <w:r w:rsidRPr="00934136">
        <w:t>affect our ability to be an effective regulator</w:t>
      </w:r>
    </w:p>
    <w:p w14:paraId="3B84B43B" w14:textId="77777777" w:rsidR="005D12F7" w:rsidRPr="00934136" w:rsidRDefault="005D12F7" w:rsidP="005D12F7">
      <w:pPr>
        <w:pStyle w:val="ListBullet"/>
      </w:pPr>
      <w:r w:rsidRPr="00934136">
        <w:t>need a regulatory response due to public concern.</w:t>
      </w:r>
    </w:p>
    <w:p w14:paraId="6D0319FE" w14:textId="77777777" w:rsidR="005D12F7" w:rsidRPr="00934136" w:rsidRDefault="005D12F7" w:rsidP="005D12F7">
      <w:pPr>
        <w:pStyle w:val="BodyText"/>
      </w:pPr>
      <w:r w:rsidRPr="00934136">
        <w:br w:type="page"/>
      </w:r>
    </w:p>
    <w:p w14:paraId="2B0907F5" w14:textId="77777777" w:rsidR="005D12F7" w:rsidRPr="00934136" w:rsidRDefault="005D12F7" w:rsidP="005D12F7">
      <w:pPr>
        <w:pStyle w:val="BodyText"/>
      </w:pPr>
      <w:r w:rsidRPr="00934136">
        <w:lastRenderedPageBreak/>
        <w:t>We monitor markets and use evidence to shape a targeted compliance program, focusing on issues that pose the highest risk to Victorians. Risks can be posed by:</w:t>
      </w:r>
    </w:p>
    <w:p w14:paraId="1482FE06" w14:textId="77777777" w:rsidR="005D12F7" w:rsidRPr="00934136" w:rsidRDefault="005D12F7" w:rsidP="005D12F7">
      <w:pPr>
        <w:pStyle w:val="ListBullet"/>
      </w:pPr>
      <w:r w:rsidRPr="00934136">
        <w:t>a product</w:t>
      </w:r>
    </w:p>
    <w:p w14:paraId="0057F29E" w14:textId="77777777" w:rsidR="005D12F7" w:rsidRPr="00934136" w:rsidRDefault="005D12F7" w:rsidP="005D12F7">
      <w:pPr>
        <w:pStyle w:val="ListBullet"/>
      </w:pPr>
      <w:r w:rsidRPr="00934136">
        <w:t>a business’ conduct</w:t>
      </w:r>
    </w:p>
    <w:p w14:paraId="490340FC" w14:textId="77777777" w:rsidR="005D12F7" w:rsidRPr="00934136" w:rsidRDefault="005D12F7" w:rsidP="005D12F7">
      <w:pPr>
        <w:pStyle w:val="ListBullet"/>
      </w:pPr>
      <w:r w:rsidRPr="00934136">
        <w:t>a new or emerging business practice</w:t>
      </w:r>
    </w:p>
    <w:p w14:paraId="1CE0D61F" w14:textId="77777777" w:rsidR="005D12F7" w:rsidRPr="00934136" w:rsidRDefault="005D12F7" w:rsidP="005D12F7">
      <w:pPr>
        <w:pStyle w:val="ListBullet"/>
      </w:pPr>
      <w:r w:rsidRPr="00934136">
        <w:t>the conduct or business model of an entire industry.</w:t>
      </w:r>
    </w:p>
    <w:p w14:paraId="78832B90" w14:textId="77777777" w:rsidR="005D12F7" w:rsidRPr="00934136" w:rsidRDefault="005D12F7" w:rsidP="005D12F7">
      <w:pPr>
        <w:pStyle w:val="Heading5"/>
      </w:pPr>
      <w:r w:rsidRPr="00934136">
        <w:t>Outcome-focused</w:t>
      </w:r>
    </w:p>
    <w:p w14:paraId="5B2B3E61" w14:textId="17EDF985" w:rsidR="005D12F7" w:rsidRPr="00934136" w:rsidRDefault="005D12F7" w:rsidP="005D12F7">
      <w:pPr>
        <w:pStyle w:val="BodyText"/>
      </w:pPr>
      <w:r w:rsidRPr="00934136">
        <w:t>We use a range of compliance tools based on a strategy aimed at affecting market outcomes. We</w:t>
      </w:r>
      <w:r w:rsidR="006157B7">
        <w:t> </w:t>
      </w:r>
      <w:r w:rsidRPr="00934136">
        <w:t>choose compliance actions to achieve results that deter unlawful conduct and promote future compliance.</w:t>
      </w:r>
    </w:p>
    <w:p w14:paraId="2504EDE0" w14:textId="77777777" w:rsidR="005D12F7" w:rsidRPr="00934136" w:rsidRDefault="005D12F7" w:rsidP="005D12F7">
      <w:pPr>
        <w:pStyle w:val="BodyText"/>
      </w:pPr>
      <w:r w:rsidRPr="00934136">
        <w:t>We take enforcement action to serve the public interest. We exercise discretion, focusing on actions that benefit all consumers. We do not generally act on behalf of individuals to obtain redress, but we do prioritise compliance actions that mitigate risks of harm, rectify breaches and secure redress for consumers where possible.</w:t>
      </w:r>
    </w:p>
    <w:p w14:paraId="49266DA9" w14:textId="77777777" w:rsidR="005D12F7" w:rsidRPr="00934136" w:rsidRDefault="005D12F7" w:rsidP="005D12F7">
      <w:pPr>
        <w:pStyle w:val="BodyText"/>
      </w:pPr>
      <w:r w:rsidRPr="00934136">
        <w:t>The nature of the problem and the desired outcome determine which compliance and enforcement approach we use. Importantly, we have a full range of tools to protect the Victorian community by holding businesses accountable for unlawful conduct. These include:</w:t>
      </w:r>
    </w:p>
    <w:p w14:paraId="6249CA94" w14:textId="77777777" w:rsidR="005D12F7" w:rsidRPr="00934136" w:rsidRDefault="005D12F7" w:rsidP="005D12F7">
      <w:pPr>
        <w:pStyle w:val="ListBullet"/>
      </w:pPr>
      <w:r w:rsidRPr="00934136">
        <w:t>civil and criminal court action</w:t>
      </w:r>
    </w:p>
    <w:p w14:paraId="43ED75F8" w14:textId="77777777" w:rsidR="005D12F7" w:rsidRPr="00934136" w:rsidRDefault="005D12F7" w:rsidP="005D12F7">
      <w:pPr>
        <w:pStyle w:val="ListBullet"/>
      </w:pPr>
      <w:r w:rsidRPr="00934136">
        <w:t>infringements and official warnings</w:t>
      </w:r>
    </w:p>
    <w:p w14:paraId="07D37BA5" w14:textId="77777777" w:rsidR="005D12F7" w:rsidRPr="00934136" w:rsidRDefault="005D12F7" w:rsidP="005D12F7">
      <w:pPr>
        <w:pStyle w:val="ListBullet"/>
      </w:pPr>
      <w:r w:rsidRPr="00934136">
        <w:t>undertakings</w:t>
      </w:r>
    </w:p>
    <w:p w14:paraId="573B2688" w14:textId="77777777" w:rsidR="005D12F7" w:rsidRPr="00934136" w:rsidRDefault="005D12F7" w:rsidP="005D12F7">
      <w:pPr>
        <w:pStyle w:val="ListBullet"/>
      </w:pPr>
      <w:r w:rsidRPr="00934136">
        <w:t>public warnings.</w:t>
      </w:r>
    </w:p>
    <w:p w14:paraId="13421516" w14:textId="77777777" w:rsidR="005D12F7" w:rsidRPr="00934136" w:rsidRDefault="005D12F7" w:rsidP="005D12F7">
      <w:pPr>
        <w:pStyle w:val="Heading3"/>
      </w:pPr>
      <w:bookmarkStart w:id="4" w:name="_Toc181015730"/>
      <w:r w:rsidRPr="00934136">
        <w:t>2023–26 Strategic Plan</w:t>
      </w:r>
      <w:bookmarkEnd w:id="4"/>
    </w:p>
    <w:p w14:paraId="692FB31F" w14:textId="1153E781" w:rsidR="005D12F7" w:rsidRPr="00934136" w:rsidRDefault="005D12F7" w:rsidP="005D12F7">
      <w:pPr>
        <w:pStyle w:val="BodyText"/>
      </w:pPr>
      <w:r w:rsidRPr="00934136">
        <w:t>In October 2023, CAV launched a new Strategic Plan. The Plan is a comprehensive roadmap which reaffirms our vision for a fair, safe and competitive marketplace in Victoria. It confirms the outcomes we are working to achieve and defines where we will focus our efforts to achieve these outcomes. The</w:t>
      </w:r>
      <w:r w:rsidR="006157B7">
        <w:t> </w:t>
      </w:r>
      <w:r w:rsidRPr="00934136">
        <w:t>new Plan aligns with DGS’s vision to improve everyone’s experience and interaction with the Victorian Government.</w:t>
      </w:r>
    </w:p>
    <w:p w14:paraId="65F7AD10" w14:textId="77777777" w:rsidR="005D12F7" w:rsidRPr="00934136" w:rsidRDefault="005D12F7" w:rsidP="005D12F7">
      <w:pPr>
        <w:pStyle w:val="BodyText"/>
      </w:pPr>
      <w:r w:rsidRPr="00934136">
        <w:t>The Plan’s outcomes, strategic directions and key focus areas drive our work. The contribution of every CAV staff member, and our strong relationships and collaboration with government partners, industry and community stakeholders will help us achieve our vision of a fair, safe and competitive marketplace in Victoria.</w:t>
      </w:r>
    </w:p>
    <w:p w14:paraId="69B721DE" w14:textId="1EE784CB" w:rsidR="005D12F7" w:rsidRPr="00934136" w:rsidRDefault="005D12F7" w:rsidP="005D12F7">
      <w:pPr>
        <w:pStyle w:val="BodyText"/>
      </w:pPr>
      <w:r w:rsidRPr="00934136">
        <w:t>Our Strategic Plan is available on our website, and we will continue to report against its outcomes and</w:t>
      </w:r>
      <w:r w:rsidR="006157B7">
        <w:t> </w:t>
      </w:r>
      <w:r w:rsidRPr="00934136">
        <w:t>strategic directions in annual reports.</w:t>
      </w:r>
    </w:p>
    <w:p w14:paraId="319B206F" w14:textId="5F1EEE7D" w:rsidR="005D12F7" w:rsidRPr="00934136" w:rsidRDefault="005D12F7" w:rsidP="005D12F7">
      <w:pPr>
        <w:pStyle w:val="BodyText"/>
      </w:pPr>
      <w:r w:rsidRPr="00934136">
        <w:rPr>
          <w:noProof/>
        </w:rPr>
        <w:lastRenderedPageBreak/>
        <w:drawing>
          <wp:inline distT="0" distB="0" distL="0" distR="0" wp14:anchorId="68DFB5D7" wp14:editId="2F549637">
            <wp:extent cx="5760000" cy="6704640"/>
            <wp:effectExtent l="0" t="0" r="0" b="1270"/>
            <wp:docPr id="473398764" name="Picture 2" descr="Infographic of the Consumer Affairs Victoria Strategic Plan 2023-26, comprising the vision statement, outcomes, outcome indicators, strategic directions, and key focus areas. The vision statement is ‘Our vision is for a fair, safe and competitive marketplace in Victoria’. The three outcomes are: 1. Victorians exercise their consumer rights: Consumers, renters, residents and community groups can find, understand and use our information; we focus support and advocacy on the people who need it most. 2. Business and rental providers do the right thing: Businesses and rental providers understand and comply with their obligations with easy-to-use information and services. 3. CAV is a trusted regulator: We demonstrate a clear purpose, responsiveness and accountability, and take decisive action. The four outcome indicators are: 1. Increased confidence of consumers and renters in exercising their rights. 2. Decreased response time to address serious non-compliance. 3. Increased stakeholder confidence in CAV as a regulator. 4. Increased staff satisfaction and engagement. The three strategic directions are: 1. Supporting Victorians, especially those experiencing vulnerability, through inclusive and accessible services. 2. Harnessing digital technologies to improve our services and make the most of our data and resources for the community. 3. Better engagement to understand and serve our communities. There are nine key focus areas. We will: 1. be clear about what services we provide and prioritise Victorians experiencing vulnerability. 2. prioritise timely compliance and enforcement responses to practices presenting the most serious risk of harm. 3. ensure accessible, easier and faster systems and services for consumers, businesses and organisations. 4. deliver genuinely helpful and responsive services to meet differing needs in the community, including that our services are culturally safe for Aboriginal people and community. 5. improve how we listen and engage to better understand where consumer rights are under threat, and how we can do better. 6. set and report on measurable outcomes for our work to ensure we are accountable for the impact of our activities. 7. build our capacity to provide timely consumer and renting support to communities impacted by emergencies. 8. communicate regularly about our work and what we are seeing in the marketplace and community. 9. foster a work culture that is safe, respectful, diverse and inclusive and that supports our people to do their jobs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98764" name="Picture 2" descr="Infographic of the Consumer Affairs Victoria Strategic Plan 2023-26, comprising the vision statement, outcomes, outcome indicators, strategic directions, and key focus areas. The vision statement is ‘Our vision is for a fair, safe and competitive marketplace in Victoria’. The three outcomes are: 1. Victorians exercise their consumer rights: Consumers, renters, residents and community groups can find, understand and use our information; we focus support and advocacy on the people who need it most. 2. Business and rental providers do the right thing: Businesses and rental providers understand and comply with their obligations with easy-to-use information and services. 3. CAV is a trusted regulator: We demonstrate a clear purpose, responsiveness and accountability, and take decisive action. The four outcome indicators are: 1. Increased confidence of consumers and renters in exercising their rights. 2. Decreased response time to address serious non-compliance. 3. Increased stakeholder confidence in CAV as a regulator. 4. Increased staff satisfaction and engagement. The three strategic directions are: 1. Supporting Victorians, especially those experiencing vulnerability, through inclusive and accessible services. 2. Harnessing digital technologies to improve our services and make the most of our data and resources for the community. 3. Better engagement to understand and serve our communities. There are nine key focus areas. We will: 1. be clear about what services we provide and prioritise Victorians experiencing vulnerability. 2. prioritise timely compliance and enforcement responses to practices presenting the most serious risk of harm. 3. ensure accessible, easier and faster systems and services for consumers, businesses and organisations. 4. deliver genuinely helpful and responsive services to meet differing needs in the community, including that our services are culturally safe for Aboriginal people and community. 5. improve how we listen and engage to better understand where consumer rights are under threat, and how we can do better. 6. set and report on measurable outcomes for our work to ensure we are accountable for the impact of our activities. 7. build our capacity to provide timely consumer and renting support to communities impacted by emergencies. 8. communicate regularly about our work and what we are seeing in the marketplace and community. 9. foster a work culture that is safe, respectful, diverse and inclusive and that supports our people to do their jobs we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6704640"/>
                    </a:xfrm>
                    <a:prstGeom prst="rect">
                      <a:avLst/>
                    </a:prstGeom>
                    <a:noFill/>
                    <a:ln>
                      <a:noFill/>
                    </a:ln>
                  </pic:spPr>
                </pic:pic>
              </a:graphicData>
            </a:graphic>
          </wp:inline>
        </w:drawing>
      </w:r>
    </w:p>
    <w:p w14:paraId="2738138C" w14:textId="77777777" w:rsidR="005D12F7" w:rsidRPr="00934136" w:rsidRDefault="005D12F7" w:rsidP="005D12F7">
      <w:pPr>
        <w:pStyle w:val="BodyText"/>
      </w:pPr>
      <w:r w:rsidRPr="00934136">
        <w:br w:type="page"/>
      </w:r>
    </w:p>
    <w:p w14:paraId="2D52B7CE" w14:textId="77777777" w:rsidR="005D12F7" w:rsidRPr="00934136" w:rsidRDefault="005D12F7" w:rsidP="005D12F7">
      <w:pPr>
        <w:pStyle w:val="Heading3"/>
      </w:pPr>
      <w:bookmarkStart w:id="5" w:name="_Toc181015731"/>
      <w:r w:rsidRPr="00934136">
        <w:lastRenderedPageBreak/>
        <w:t>Regulatory priorities 2023–24</w:t>
      </w:r>
      <w:bookmarkEnd w:id="5"/>
    </w:p>
    <w:p w14:paraId="59621A6C" w14:textId="77777777" w:rsidR="005D12F7" w:rsidRPr="00934136" w:rsidRDefault="005D12F7" w:rsidP="005D12F7">
      <w:pPr>
        <w:pStyle w:val="BodyText"/>
      </w:pPr>
      <w:r w:rsidRPr="00934136">
        <w:t>Each year, we identify regulatory priorities based on specific areas and consumer harms we are concerned about in the marketplace, which reflect CAV’s intelligence on emerging marketplace risks, government priorities and stakeholder feedback. These regulatory priorities help direct our resources to address key risks to consumers.</w:t>
      </w:r>
    </w:p>
    <w:p w14:paraId="239C911B" w14:textId="77777777" w:rsidR="005D12F7" w:rsidRPr="00934136" w:rsidRDefault="005D12F7" w:rsidP="005D12F7">
      <w:pPr>
        <w:pStyle w:val="BodyText"/>
      </w:pPr>
      <w:r w:rsidRPr="00934136">
        <w:t>The 2023–24 priorities covered four key areas:</w:t>
      </w:r>
    </w:p>
    <w:p w14:paraId="4877738D" w14:textId="77777777" w:rsidR="005D12F7" w:rsidRPr="00934136" w:rsidRDefault="005D12F7" w:rsidP="005D12F7">
      <w:pPr>
        <w:pStyle w:val="ListBullet"/>
      </w:pPr>
      <w:r w:rsidRPr="00934136">
        <w:t>ensuring fairness and safety in competitive consumer markets</w:t>
      </w:r>
    </w:p>
    <w:p w14:paraId="2998D1A6" w14:textId="77777777" w:rsidR="005D12F7" w:rsidRPr="00934136" w:rsidRDefault="005D12F7" w:rsidP="005D12F7">
      <w:pPr>
        <w:pStyle w:val="ListBullet"/>
      </w:pPr>
      <w:r w:rsidRPr="00934136">
        <w:t>upholding robust standards for key industries, sectors and professions</w:t>
      </w:r>
    </w:p>
    <w:p w14:paraId="66AF9695" w14:textId="77777777" w:rsidR="005D12F7" w:rsidRPr="00934136" w:rsidRDefault="005D12F7" w:rsidP="005D12F7">
      <w:pPr>
        <w:pStyle w:val="ListBullet"/>
      </w:pPr>
      <w:r w:rsidRPr="00934136">
        <w:t>ensuring a fair and safe rental market</w:t>
      </w:r>
    </w:p>
    <w:p w14:paraId="7930C4B1" w14:textId="77777777" w:rsidR="005D12F7" w:rsidRPr="00934136" w:rsidRDefault="005D12F7" w:rsidP="005D12F7">
      <w:pPr>
        <w:pStyle w:val="ListBullet"/>
      </w:pPr>
      <w:r w:rsidRPr="00934136">
        <w:t>supporting Victorian communities impacted by emergencies.</w:t>
      </w:r>
    </w:p>
    <w:p w14:paraId="5EF6B016" w14:textId="77777777" w:rsidR="005D12F7" w:rsidRPr="00934136" w:rsidRDefault="005D12F7" w:rsidP="005D12F7">
      <w:pPr>
        <w:pStyle w:val="BodyText"/>
      </w:pPr>
      <w:r w:rsidRPr="00934136">
        <w:t>Regulatory priorities do not prevent us from responding to new, emerging or serious issues that arise during the year under our areas of regulatory responsibility. We will always take appropriate action to address harmful conduct or breaches of the laws we administer.</w:t>
      </w:r>
    </w:p>
    <w:p w14:paraId="38CE2A83" w14:textId="77777777" w:rsidR="005D12F7" w:rsidRPr="00934136" w:rsidRDefault="005D12F7" w:rsidP="005D12F7">
      <w:pPr>
        <w:pStyle w:val="Heading2"/>
      </w:pPr>
      <w:bookmarkStart w:id="6" w:name="_Toc181015732"/>
      <w:r w:rsidRPr="00934136">
        <w:lastRenderedPageBreak/>
        <w:t>Our performance</w:t>
      </w:r>
      <w:bookmarkEnd w:id="6"/>
    </w:p>
    <w:p w14:paraId="5841BA5B" w14:textId="77777777" w:rsidR="005D12F7" w:rsidRPr="00934136" w:rsidRDefault="005D12F7" w:rsidP="005D12F7">
      <w:pPr>
        <w:pStyle w:val="BodyText"/>
      </w:pPr>
      <w:r w:rsidRPr="00934136">
        <w:t>Our performance in 2023–24 reflected our commitment to ensuring a fair consumer marketplace, while supporting Victorians in a time of rising cost of living pressures.</w:t>
      </w:r>
    </w:p>
    <w:p w14:paraId="6C971BEF" w14:textId="77777777" w:rsidR="005D12F7" w:rsidRPr="00934136" w:rsidRDefault="005D12F7" w:rsidP="005D12F7">
      <w:pPr>
        <w:pStyle w:val="BodyText"/>
      </w:pPr>
      <w:r w:rsidRPr="00934136">
        <w:t>We provided crucial information and advice to Victorians through both our online and telephone services. This year saw an increase in online services provided, with a corresponding decrease in telephone services, reflecting our goal of using digital technologies to provide greater service to the community. As many Victorians struggled with rental pressures, we continued to dedicate extra resources to undertaking rent investigations, to help Victorians avoid paying excessive rental fees.</w:t>
      </w:r>
    </w:p>
    <w:p w14:paraId="7C1788B8" w14:textId="77777777" w:rsidR="005D12F7" w:rsidRPr="00934136" w:rsidRDefault="005D12F7" w:rsidP="005D12F7">
      <w:pPr>
        <w:pStyle w:val="BodyText"/>
      </w:pPr>
      <w:r w:rsidRPr="00934136">
        <w:t>We also focused on ensuring that businesses and rental providers were supported to understand and meet their legal obligations and that Victorians were not further impacted by unfair business practices.</w:t>
      </w:r>
    </w:p>
    <w:p w14:paraId="2DE50670" w14:textId="77777777" w:rsidR="005D12F7" w:rsidRPr="00934136" w:rsidRDefault="005D12F7" w:rsidP="005D12F7">
      <w:pPr>
        <w:pStyle w:val="BodyText"/>
      </w:pPr>
      <w:r w:rsidRPr="00934136">
        <w:t>We delivered thousands of licensing and registration services to Victorian businesses and community organisations. Upgrades made to our systems allowed organisations to meet their regulatory obligations more easily and quickly, with minimal red tape.</w:t>
      </w:r>
    </w:p>
    <w:p w14:paraId="4634B973" w14:textId="0F6E6289" w:rsidR="005D12F7" w:rsidRPr="00934136" w:rsidRDefault="005D12F7" w:rsidP="005D12F7">
      <w:pPr>
        <w:pStyle w:val="BodyText"/>
      </w:pPr>
      <w:r w:rsidRPr="00934136">
        <w:t>Over the year, we also undertook hundreds of compliance and enforcement activities in multiple industries, including real estate and renting, motor car trading, and debt collection. These resulted in</w:t>
      </w:r>
      <w:r w:rsidR="006157B7">
        <w:t> </w:t>
      </w:r>
      <w:r w:rsidRPr="00934136">
        <w:t>both voluntary and enforced outcomes such as infringements and public warnings, and where necessary, court or tribunal actions. The establishment of the underquoting and renting taskforces provided significant resources to undertake these activities.</w:t>
      </w:r>
    </w:p>
    <w:p w14:paraId="6FBB448B" w14:textId="1D3AB738" w:rsidR="005D12F7" w:rsidRPr="00934136" w:rsidRDefault="005D12F7" w:rsidP="005D12F7">
      <w:pPr>
        <w:pStyle w:val="BodyText"/>
      </w:pPr>
      <w:r w:rsidRPr="00934136">
        <w:t>We supported Victorians facing hardship by funding community organisations to deliver critical financial counselling, renting and consumer assistance and support. Specialist financial counselling for</w:t>
      </w:r>
      <w:r w:rsidR="006157B7">
        <w:t> </w:t>
      </w:r>
      <w:r w:rsidRPr="00934136">
        <w:t>victims of family violence and for people impacted by disasters such as floods and storms remains a priority, with increased demand for support driven by housing and cost-of-living-pressures.</w:t>
      </w:r>
    </w:p>
    <w:p w14:paraId="7E418B8B" w14:textId="77777777" w:rsidR="005D12F7" w:rsidRPr="00934136" w:rsidRDefault="005D12F7" w:rsidP="005D12F7">
      <w:pPr>
        <w:pStyle w:val="BodyText"/>
      </w:pPr>
      <w:r w:rsidRPr="00934136">
        <w:t>We are proud to have played an important role in providing Victorians with supports and protections during a challenging year.</w:t>
      </w:r>
    </w:p>
    <w:p w14:paraId="339347DC" w14:textId="77777777" w:rsidR="005D12F7" w:rsidRPr="00934136" w:rsidRDefault="005D12F7" w:rsidP="005D12F7">
      <w:pPr>
        <w:pStyle w:val="BodyText"/>
      </w:pPr>
      <w:r w:rsidRPr="00934136">
        <w:t>Our performance is measured against target outputs specified in Budget Paper 3 2023–24. Outputs refer to the goods and services provided to government by departments, agencies and statutory bodies, and through funding provided to others, such as community agencies.</w:t>
      </w:r>
    </w:p>
    <w:p w14:paraId="3438A035" w14:textId="77777777" w:rsidR="005D12F7" w:rsidRPr="00934136" w:rsidRDefault="005D12F7" w:rsidP="005D12F7">
      <w:pPr>
        <w:pStyle w:val="BodyText"/>
        <w:rPr>
          <w:szCs w:val="20"/>
        </w:rPr>
      </w:pPr>
      <w:r w:rsidRPr="00934136">
        <w:br w:type="page"/>
      </w:r>
    </w:p>
    <w:p w14:paraId="7B66F08F" w14:textId="77777777" w:rsidR="005D12F7" w:rsidRPr="00934136" w:rsidRDefault="005D12F7" w:rsidP="005D12F7">
      <w:pPr>
        <w:pStyle w:val="Caption"/>
      </w:pPr>
      <w:r w:rsidRPr="00934136">
        <w:lastRenderedPageBreak/>
        <w:t>Table: BP3 results</w:t>
      </w:r>
    </w:p>
    <w:tbl>
      <w:tblPr>
        <w:tblStyle w:val="TableGrid"/>
        <w:tblW w:w="9072" w:type="dxa"/>
        <w:tblLayout w:type="fixed"/>
        <w:tblLook w:val="06A0" w:firstRow="1" w:lastRow="0" w:firstColumn="1" w:lastColumn="0" w:noHBand="1" w:noVBand="1"/>
      </w:tblPr>
      <w:tblGrid>
        <w:gridCol w:w="3854"/>
        <w:gridCol w:w="1134"/>
        <w:gridCol w:w="1021"/>
        <w:gridCol w:w="1021"/>
        <w:gridCol w:w="1021"/>
        <w:gridCol w:w="1021"/>
      </w:tblGrid>
      <w:tr w:rsidR="005D12F7" w:rsidRPr="00934136" w14:paraId="3E12DA8F" w14:textId="77777777" w:rsidTr="00344571">
        <w:trPr>
          <w:cnfStyle w:val="100000000000" w:firstRow="1" w:lastRow="0" w:firstColumn="0" w:lastColumn="0" w:oddVBand="0" w:evenVBand="0" w:oddHBand="0" w:evenHBand="0" w:firstRowFirstColumn="0" w:firstRowLastColumn="0" w:lastRowFirstColumn="0" w:lastRowLastColumn="0"/>
          <w:trHeight w:val="68"/>
          <w:tblHeader/>
        </w:trPr>
        <w:tc>
          <w:tcPr>
            <w:tcW w:w="3854" w:type="dxa"/>
          </w:tcPr>
          <w:p w14:paraId="37279FF3" w14:textId="77777777" w:rsidR="005D12F7" w:rsidRPr="00934136" w:rsidRDefault="005D12F7" w:rsidP="00344571">
            <w:pPr>
              <w:pStyle w:val="TableColHead"/>
            </w:pPr>
          </w:p>
        </w:tc>
        <w:tc>
          <w:tcPr>
            <w:tcW w:w="1134" w:type="dxa"/>
          </w:tcPr>
          <w:p w14:paraId="06300CD1" w14:textId="77777777" w:rsidR="005D12F7" w:rsidRPr="00934136" w:rsidRDefault="005D12F7" w:rsidP="00344571">
            <w:pPr>
              <w:pStyle w:val="TableColHead"/>
            </w:pPr>
            <w:r w:rsidRPr="00934136">
              <w:t>Unit of Measure</w:t>
            </w:r>
          </w:p>
        </w:tc>
        <w:tc>
          <w:tcPr>
            <w:tcW w:w="1021" w:type="dxa"/>
          </w:tcPr>
          <w:p w14:paraId="7C6851BD" w14:textId="77777777" w:rsidR="005D12F7" w:rsidRPr="00934136" w:rsidRDefault="005D12F7" w:rsidP="00344571">
            <w:pPr>
              <w:pStyle w:val="TableColHeadRight"/>
            </w:pPr>
            <w:r w:rsidRPr="00934136">
              <w:t>2021–22 actual</w:t>
            </w:r>
          </w:p>
        </w:tc>
        <w:tc>
          <w:tcPr>
            <w:tcW w:w="1021" w:type="dxa"/>
          </w:tcPr>
          <w:p w14:paraId="4914B91E" w14:textId="77777777" w:rsidR="005D12F7" w:rsidRPr="00934136" w:rsidRDefault="005D12F7" w:rsidP="00344571">
            <w:pPr>
              <w:pStyle w:val="TableColHeadRight"/>
            </w:pPr>
            <w:r w:rsidRPr="00934136">
              <w:t>2022–23 actual</w:t>
            </w:r>
          </w:p>
        </w:tc>
        <w:tc>
          <w:tcPr>
            <w:tcW w:w="1021" w:type="dxa"/>
          </w:tcPr>
          <w:p w14:paraId="3B0E9EAC" w14:textId="77777777" w:rsidR="005D12F7" w:rsidRPr="00934136" w:rsidRDefault="005D12F7" w:rsidP="00344571">
            <w:pPr>
              <w:pStyle w:val="TableColHeadRight"/>
            </w:pPr>
            <w:r w:rsidRPr="00934136">
              <w:t>2023–24 target</w:t>
            </w:r>
          </w:p>
        </w:tc>
        <w:tc>
          <w:tcPr>
            <w:tcW w:w="1021" w:type="dxa"/>
          </w:tcPr>
          <w:p w14:paraId="3AEA001B" w14:textId="77777777" w:rsidR="005D12F7" w:rsidRPr="00934136" w:rsidRDefault="005D12F7" w:rsidP="00344571">
            <w:pPr>
              <w:pStyle w:val="TableColHeadRight"/>
            </w:pPr>
            <w:r w:rsidRPr="00934136">
              <w:t>2023–24 actual</w:t>
            </w:r>
          </w:p>
        </w:tc>
      </w:tr>
      <w:tr w:rsidR="005D12F7" w:rsidRPr="00934136" w14:paraId="5A5B3264" w14:textId="77777777" w:rsidTr="00344571">
        <w:trPr>
          <w:trHeight w:val="68"/>
        </w:trPr>
        <w:tc>
          <w:tcPr>
            <w:tcW w:w="9072" w:type="dxa"/>
            <w:gridSpan w:val="6"/>
            <w:shd w:val="clear" w:color="auto" w:fill="BCCAE5"/>
          </w:tcPr>
          <w:p w14:paraId="7457761D" w14:textId="77777777" w:rsidR="005D12F7" w:rsidRPr="00934136" w:rsidRDefault="005D12F7" w:rsidP="00344571">
            <w:pPr>
              <w:pStyle w:val="TableTextBold"/>
            </w:pPr>
            <w:r w:rsidRPr="00934136">
              <w:t>Quantity</w:t>
            </w:r>
          </w:p>
        </w:tc>
      </w:tr>
      <w:tr w:rsidR="005D12F7" w:rsidRPr="00934136" w14:paraId="06579087" w14:textId="77777777" w:rsidTr="00344571">
        <w:trPr>
          <w:trHeight w:val="68"/>
        </w:trPr>
        <w:tc>
          <w:tcPr>
            <w:tcW w:w="3854" w:type="dxa"/>
          </w:tcPr>
          <w:p w14:paraId="77A909E8" w14:textId="77777777" w:rsidR="005D12F7" w:rsidRPr="00934136" w:rsidRDefault="005D12F7" w:rsidP="00344571">
            <w:pPr>
              <w:pStyle w:val="TableText"/>
            </w:pPr>
            <w:r w:rsidRPr="00934136">
              <w:t>Information and advice provided to consumers, renters, rental providers and businesses: through other services including written correspondence, face-to-face and dispute assistance</w:t>
            </w:r>
          </w:p>
        </w:tc>
        <w:tc>
          <w:tcPr>
            <w:tcW w:w="1134" w:type="dxa"/>
          </w:tcPr>
          <w:p w14:paraId="2AEDF27B" w14:textId="77777777" w:rsidR="005D12F7" w:rsidRPr="00934136" w:rsidRDefault="005D12F7" w:rsidP="00344571">
            <w:pPr>
              <w:pStyle w:val="TableText"/>
            </w:pPr>
            <w:r w:rsidRPr="00934136">
              <w:t>Number</w:t>
            </w:r>
          </w:p>
        </w:tc>
        <w:tc>
          <w:tcPr>
            <w:tcW w:w="1021" w:type="dxa"/>
          </w:tcPr>
          <w:p w14:paraId="057C336D" w14:textId="77777777" w:rsidR="005D12F7" w:rsidRPr="00934136" w:rsidRDefault="005D12F7" w:rsidP="00344571">
            <w:pPr>
              <w:pStyle w:val="TableTextRight"/>
            </w:pPr>
            <w:r w:rsidRPr="00934136">
              <w:t>99,191</w:t>
            </w:r>
          </w:p>
        </w:tc>
        <w:tc>
          <w:tcPr>
            <w:tcW w:w="1021" w:type="dxa"/>
          </w:tcPr>
          <w:p w14:paraId="08CD8ECE" w14:textId="77777777" w:rsidR="005D12F7" w:rsidRPr="00934136" w:rsidRDefault="005D12F7" w:rsidP="00344571">
            <w:pPr>
              <w:pStyle w:val="TableTextRight"/>
            </w:pPr>
            <w:r w:rsidRPr="00934136">
              <w:t xml:space="preserve">114,906 </w:t>
            </w:r>
          </w:p>
        </w:tc>
        <w:tc>
          <w:tcPr>
            <w:tcW w:w="1021" w:type="dxa"/>
          </w:tcPr>
          <w:p w14:paraId="50EC1CC6" w14:textId="77777777" w:rsidR="005D12F7" w:rsidRPr="00934136" w:rsidRDefault="005D12F7" w:rsidP="00344571">
            <w:pPr>
              <w:pStyle w:val="TableTextRight"/>
            </w:pPr>
            <w:r w:rsidRPr="00934136">
              <w:t>115,700</w:t>
            </w:r>
          </w:p>
        </w:tc>
        <w:tc>
          <w:tcPr>
            <w:tcW w:w="1021" w:type="dxa"/>
          </w:tcPr>
          <w:p w14:paraId="0D18AAA7" w14:textId="77777777" w:rsidR="005D12F7" w:rsidRPr="00934136" w:rsidRDefault="005D12F7" w:rsidP="00344571">
            <w:pPr>
              <w:pStyle w:val="TableTextRight"/>
            </w:pPr>
            <w:r w:rsidRPr="00934136">
              <w:t>121,142</w:t>
            </w:r>
          </w:p>
        </w:tc>
      </w:tr>
      <w:tr w:rsidR="005D12F7" w:rsidRPr="00934136" w14:paraId="1E948287" w14:textId="77777777" w:rsidTr="00344571">
        <w:trPr>
          <w:trHeight w:val="68"/>
        </w:trPr>
        <w:tc>
          <w:tcPr>
            <w:tcW w:w="3854" w:type="dxa"/>
          </w:tcPr>
          <w:p w14:paraId="685045EF" w14:textId="77777777" w:rsidR="005D12F7" w:rsidRPr="00934136" w:rsidRDefault="005D12F7" w:rsidP="00344571">
            <w:pPr>
              <w:pStyle w:val="TableText"/>
            </w:pPr>
            <w:r w:rsidRPr="00934136">
              <w:t>Information and advice provided to consumers, renters, rental providers and businesses: through telephone services</w:t>
            </w:r>
            <w:r w:rsidRPr="00934136">
              <w:rPr>
                <w:rFonts w:cs="Arial"/>
              </w:rPr>
              <w:t> </w:t>
            </w:r>
            <w:r w:rsidRPr="00934136">
              <w:rPr>
                <w:rStyle w:val="FootnoteReference"/>
              </w:rPr>
              <w:footnoteReference w:id="4"/>
            </w:r>
          </w:p>
        </w:tc>
        <w:tc>
          <w:tcPr>
            <w:tcW w:w="1134" w:type="dxa"/>
          </w:tcPr>
          <w:p w14:paraId="6A97D92F" w14:textId="77777777" w:rsidR="005D12F7" w:rsidRPr="00934136" w:rsidRDefault="005D12F7" w:rsidP="00344571">
            <w:pPr>
              <w:pStyle w:val="TableText"/>
            </w:pPr>
            <w:r w:rsidRPr="00934136">
              <w:t>Number</w:t>
            </w:r>
          </w:p>
        </w:tc>
        <w:tc>
          <w:tcPr>
            <w:tcW w:w="1021" w:type="dxa"/>
          </w:tcPr>
          <w:p w14:paraId="5E73C779" w14:textId="77777777" w:rsidR="005D12F7" w:rsidRPr="00934136" w:rsidRDefault="005D12F7" w:rsidP="00344571">
            <w:pPr>
              <w:pStyle w:val="TableTextRight"/>
            </w:pPr>
            <w:r w:rsidRPr="00934136">
              <w:t>245,141</w:t>
            </w:r>
          </w:p>
        </w:tc>
        <w:tc>
          <w:tcPr>
            <w:tcW w:w="1021" w:type="dxa"/>
          </w:tcPr>
          <w:p w14:paraId="1AB86046" w14:textId="77777777" w:rsidR="005D12F7" w:rsidRPr="00934136" w:rsidRDefault="005D12F7" w:rsidP="00344571">
            <w:pPr>
              <w:pStyle w:val="TableTextRight"/>
            </w:pPr>
            <w:r w:rsidRPr="00934136">
              <w:t>206,025</w:t>
            </w:r>
          </w:p>
        </w:tc>
        <w:tc>
          <w:tcPr>
            <w:tcW w:w="1021" w:type="dxa"/>
          </w:tcPr>
          <w:p w14:paraId="2E5225D0" w14:textId="77777777" w:rsidR="005D12F7" w:rsidRPr="00934136" w:rsidRDefault="005D12F7" w:rsidP="00344571">
            <w:pPr>
              <w:pStyle w:val="TableTextRight"/>
            </w:pPr>
            <w:r w:rsidRPr="00934136">
              <w:t>279,329</w:t>
            </w:r>
          </w:p>
        </w:tc>
        <w:tc>
          <w:tcPr>
            <w:tcW w:w="1021" w:type="dxa"/>
          </w:tcPr>
          <w:p w14:paraId="208161E0" w14:textId="77777777" w:rsidR="005D12F7" w:rsidRPr="00934136" w:rsidRDefault="005D12F7" w:rsidP="00344571">
            <w:pPr>
              <w:pStyle w:val="TableTextRight"/>
            </w:pPr>
            <w:r w:rsidRPr="00934136">
              <w:t>220,741</w:t>
            </w:r>
          </w:p>
        </w:tc>
      </w:tr>
      <w:tr w:rsidR="005D12F7" w:rsidRPr="00934136" w14:paraId="12D377DF" w14:textId="77777777" w:rsidTr="00344571">
        <w:trPr>
          <w:trHeight w:val="68"/>
        </w:trPr>
        <w:tc>
          <w:tcPr>
            <w:tcW w:w="3854" w:type="dxa"/>
          </w:tcPr>
          <w:p w14:paraId="426038B4" w14:textId="77777777" w:rsidR="005D12F7" w:rsidRPr="00934136" w:rsidRDefault="005D12F7" w:rsidP="00344571">
            <w:pPr>
              <w:pStyle w:val="TableText"/>
            </w:pPr>
            <w:r w:rsidRPr="00934136">
              <w:t>Number of court and administrative actions</w:t>
            </w:r>
            <w:r w:rsidRPr="00934136">
              <w:rPr>
                <w:rFonts w:cs="Arial"/>
              </w:rPr>
              <w:t> </w:t>
            </w:r>
            <w:r w:rsidRPr="00934136">
              <w:rPr>
                <w:rStyle w:val="FootnoteReference"/>
              </w:rPr>
              <w:footnoteReference w:id="5"/>
            </w:r>
          </w:p>
        </w:tc>
        <w:tc>
          <w:tcPr>
            <w:tcW w:w="1134" w:type="dxa"/>
          </w:tcPr>
          <w:p w14:paraId="006C2C0F" w14:textId="77777777" w:rsidR="005D12F7" w:rsidRPr="00934136" w:rsidRDefault="005D12F7" w:rsidP="00344571">
            <w:pPr>
              <w:pStyle w:val="TableText"/>
            </w:pPr>
            <w:r w:rsidRPr="00934136">
              <w:t>Number</w:t>
            </w:r>
          </w:p>
        </w:tc>
        <w:tc>
          <w:tcPr>
            <w:tcW w:w="1021" w:type="dxa"/>
          </w:tcPr>
          <w:p w14:paraId="50E2E6AF" w14:textId="77777777" w:rsidR="005D12F7" w:rsidRPr="00934136" w:rsidRDefault="005D12F7" w:rsidP="00344571">
            <w:pPr>
              <w:pStyle w:val="TableTextRight"/>
            </w:pPr>
            <w:r w:rsidRPr="00934136">
              <w:t>628</w:t>
            </w:r>
          </w:p>
        </w:tc>
        <w:tc>
          <w:tcPr>
            <w:tcW w:w="1021" w:type="dxa"/>
          </w:tcPr>
          <w:p w14:paraId="2BB89A00" w14:textId="77777777" w:rsidR="005D12F7" w:rsidRPr="00934136" w:rsidRDefault="005D12F7" w:rsidP="00344571">
            <w:pPr>
              <w:pStyle w:val="TableTextRight"/>
            </w:pPr>
            <w:r w:rsidRPr="00934136">
              <w:t>495</w:t>
            </w:r>
          </w:p>
        </w:tc>
        <w:tc>
          <w:tcPr>
            <w:tcW w:w="1021" w:type="dxa"/>
          </w:tcPr>
          <w:p w14:paraId="63F8A972" w14:textId="77777777" w:rsidR="005D12F7" w:rsidRPr="00934136" w:rsidRDefault="005D12F7" w:rsidP="00344571">
            <w:pPr>
              <w:pStyle w:val="TableTextRight"/>
            </w:pPr>
            <w:r w:rsidRPr="00934136">
              <w:t>900</w:t>
            </w:r>
          </w:p>
        </w:tc>
        <w:tc>
          <w:tcPr>
            <w:tcW w:w="1021" w:type="dxa"/>
          </w:tcPr>
          <w:p w14:paraId="55896423" w14:textId="5B574148" w:rsidR="005D12F7" w:rsidRPr="00934136" w:rsidRDefault="005D12F7" w:rsidP="00344571">
            <w:pPr>
              <w:pStyle w:val="TableTextRight"/>
            </w:pPr>
            <w:r w:rsidRPr="00934136">
              <w:t>96</w:t>
            </w:r>
            <w:r w:rsidR="00EB6E61">
              <w:t>3</w:t>
            </w:r>
          </w:p>
        </w:tc>
      </w:tr>
      <w:tr w:rsidR="005D12F7" w:rsidRPr="00934136" w14:paraId="4B93BA39" w14:textId="77777777" w:rsidTr="00344571">
        <w:trPr>
          <w:trHeight w:val="68"/>
        </w:trPr>
        <w:tc>
          <w:tcPr>
            <w:tcW w:w="3854" w:type="dxa"/>
          </w:tcPr>
          <w:p w14:paraId="55AA61BB" w14:textId="77777777" w:rsidR="005D12F7" w:rsidRPr="00934136" w:rsidRDefault="005D12F7" w:rsidP="00344571">
            <w:pPr>
              <w:pStyle w:val="TableText"/>
            </w:pPr>
            <w:r w:rsidRPr="00934136">
              <w:t>Transactions undertaken: Residential Tenancies Bond Authority (RTBA) transactions</w:t>
            </w:r>
          </w:p>
        </w:tc>
        <w:tc>
          <w:tcPr>
            <w:tcW w:w="1134" w:type="dxa"/>
          </w:tcPr>
          <w:p w14:paraId="047413DC" w14:textId="77777777" w:rsidR="005D12F7" w:rsidRPr="00934136" w:rsidRDefault="005D12F7" w:rsidP="00344571">
            <w:pPr>
              <w:pStyle w:val="TableText"/>
            </w:pPr>
            <w:r w:rsidRPr="00934136">
              <w:t>Number</w:t>
            </w:r>
          </w:p>
        </w:tc>
        <w:tc>
          <w:tcPr>
            <w:tcW w:w="1021" w:type="dxa"/>
          </w:tcPr>
          <w:p w14:paraId="742A98FD" w14:textId="77777777" w:rsidR="005D12F7" w:rsidRPr="00934136" w:rsidRDefault="005D12F7" w:rsidP="00344571">
            <w:pPr>
              <w:pStyle w:val="TableTextRight"/>
            </w:pPr>
            <w:r w:rsidRPr="00934136">
              <w:t>495,922</w:t>
            </w:r>
            <w:r w:rsidRPr="00934136">
              <w:rPr>
                <w:vertAlign w:val="superscript"/>
              </w:rPr>
              <w:footnoteReference w:id="6"/>
            </w:r>
            <w:r w:rsidRPr="00934136">
              <w:rPr>
                <w:rFonts w:cs="Arial"/>
              </w:rPr>
              <w:t> </w:t>
            </w:r>
          </w:p>
        </w:tc>
        <w:tc>
          <w:tcPr>
            <w:tcW w:w="1021" w:type="dxa"/>
          </w:tcPr>
          <w:p w14:paraId="213C1959" w14:textId="77777777" w:rsidR="005D12F7" w:rsidRPr="00934136" w:rsidRDefault="005D12F7" w:rsidP="00344571">
            <w:pPr>
              <w:pStyle w:val="TableTextRight"/>
            </w:pPr>
            <w:r w:rsidRPr="00934136">
              <w:t>479,849</w:t>
            </w:r>
          </w:p>
        </w:tc>
        <w:tc>
          <w:tcPr>
            <w:tcW w:w="1021" w:type="dxa"/>
          </w:tcPr>
          <w:p w14:paraId="19A5337E" w14:textId="77777777" w:rsidR="005D12F7" w:rsidRPr="00934136" w:rsidRDefault="005D12F7" w:rsidP="00344571">
            <w:pPr>
              <w:pStyle w:val="TableTextRight"/>
            </w:pPr>
            <w:r w:rsidRPr="00934136">
              <w:t>506,000</w:t>
            </w:r>
          </w:p>
        </w:tc>
        <w:tc>
          <w:tcPr>
            <w:tcW w:w="1021" w:type="dxa"/>
          </w:tcPr>
          <w:p w14:paraId="71B5192D" w14:textId="77777777" w:rsidR="005D12F7" w:rsidRPr="00934136" w:rsidRDefault="005D12F7" w:rsidP="00344571">
            <w:pPr>
              <w:pStyle w:val="TableTextRight"/>
            </w:pPr>
            <w:r w:rsidRPr="00934136">
              <w:t>497,780</w:t>
            </w:r>
          </w:p>
        </w:tc>
      </w:tr>
      <w:tr w:rsidR="005D12F7" w:rsidRPr="00934136" w14:paraId="673B86A8" w14:textId="77777777" w:rsidTr="00344571">
        <w:trPr>
          <w:trHeight w:val="68"/>
        </w:trPr>
        <w:tc>
          <w:tcPr>
            <w:tcW w:w="3854" w:type="dxa"/>
          </w:tcPr>
          <w:p w14:paraId="7D5C05AE" w14:textId="77777777" w:rsidR="005D12F7" w:rsidRPr="00934136" w:rsidRDefault="005D12F7" w:rsidP="00344571">
            <w:pPr>
              <w:pStyle w:val="TableText"/>
            </w:pPr>
            <w:r w:rsidRPr="00934136">
              <w:t>Transactions undertaken – registration and licensing transactions</w:t>
            </w:r>
          </w:p>
        </w:tc>
        <w:tc>
          <w:tcPr>
            <w:tcW w:w="1134" w:type="dxa"/>
          </w:tcPr>
          <w:p w14:paraId="4E52D068" w14:textId="77777777" w:rsidR="005D12F7" w:rsidRPr="00934136" w:rsidRDefault="005D12F7" w:rsidP="00344571">
            <w:pPr>
              <w:pStyle w:val="TableText"/>
            </w:pPr>
            <w:r w:rsidRPr="00934136">
              <w:t>Number</w:t>
            </w:r>
          </w:p>
        </w:tc>
        <w:tc>
          <w:tcPr>
            <w:tcW w:w="1021" w:type="dxa"/>
          </w:tcPr>
          <w:p w14:paraId="5A120AB5" w14:textId="77777777" w:rsidR="005D12F7" w:rsidRPr="00934136" w:rsidRDefault="005D12F7" w:rsidP="00344571">
            <w:pPr>
              <w:pStyle w:val="TableTextRight"/>
            </w:pPr>
            <w:r w:rsidRPr="00934136">
              <w:t>100,711</w:t>
            </w:r>
          </w:p>
        </w:tc>
        <w:tc>
          <w:tcPr>
            <w:tcW w:w="1021" w:type="dxa"/>
          </w:tcPr>
          <w:p w14:paraId="0131B54C" w14:textId="77777777" w:rsidR="005D12F7" w:rsidRPr="00934136" w:rsidRDefault="005D12F7" w:rsidP="00344571">
            <w:pPr>
              <w:pStyle w:val="TableTextRight"/>
            </w:pPr>
            <w:r w:rsidRPr="00934136">
              <w:t>106,065</w:t>
            </w:r>
          </w:p>
        </w:tc>
        <w:tc>
          <w:tcPr>
            <w:tcW w:w="1021" w:type="dxa"/>
          </w:tcPr>
          <w:p w14:paraId="6B04DB88" w14:textId="77777777" w:rsidR="005D12F7" w:rsidRPr="00934136" w:rsidRDefault="005D12F7" w:rsidP="00344571">
            <w:pPr>
              <w:pStyle w:val="TableTextRight"/>
            </w:pPr>
            <w:r w:rsidRPr="00934136">
              <w:t>105,247</w:t>
            </w:r>
          </w:p>
        </w:tc>
        <w:tc>
          <w:tcPr>
            <w:tcW w:w="1021" w:type="dxa"/>
          </w:tcPr>
          <w:p w14:paraId="3466CFB8" w14:textId="77777777" w:rsidR="005D12F7" w:rsidRPr="00934136" w:rsidRDefault="005D12F7" w:rsidP="00344571">
            <w:pPr>
              <w:pStyle w:val="TableTextRight"/>
            </w:pPr>
            <w:r w:rsidRPr="00934136">
              <w:t>107,943</w:t>
            </w:r>
          </w:p>
        </w:tc>
      </w:tr>
      <w:tr w:rsidR="005D12F7" w:rsidRPr="00934136" w14:paraId="0B583678" w14:textId="77777777" w:rsidTr="00344571">
        <w:trPr>
          <w:trHeight w:val="68"/>
        </w:trPr>
        <w:tc>
          <w:tcPr>
            <w:tcW w:w="3854" w:type="dxa"/>
          </w:tcPr>
          <w:p w14:paraId="71A9B970" w14:textId="77777777" w:rsidR="005D12F7" w:rsidRPr="00934136" w:rsidRDefault="005D12F7" w:rsidP="00344571">
            <w:pPr>
              <w:pStyle w:val="TableText"/>
            </w:pPr>
            <w:r w:rsidRPr="00934136">
              <w:t>Victims of family violence assisted with financial counselling</w:t>
            </w:r>
            <w:r w:rsidRPr="00934136">
              <w:rPr>
                <w:rFonts w:cs="Arial"/>
              </w:rPr>
              <w:t> </w:t>
            </w:r>
            <w:r w:rsidRPr="00934136">
              <w:rPr>
                <w:rStyle w:val="FootnoteReference"/>
              </w:rPr>
              <w:footnoteReference w:id="7"/>
            </w:r>
          </w:p>
        </w:tc>
        <w:tc>
          <w:tcPr>
            <w:tcW w:w="1134" w:type="dxa"/>
          </w:tcPr>
          <w:p w14:paraId="173BF8CC" w14:textId="77777777" w:rsidR="005D12F7" w:rsidRPr="00934136" w:rsidRDefault="005D12F7" w:rsidP="00344571">
            <w:pPr>
              <w:pStyle w:val="TableText"/>
            </w:pPr>
            <w:r w:rsidRPr="00934136">
              <w:t>Number</w:t>
            </w:r>
          </w:p>
        </w:tc>
        <w:tc>
          <w:tcPr>
            <w:tcW w:w="1021" w:type="dxa"/>
          </w:tcPr>
          <w:p w14:paraId="72C46E5E" w14:textId="77777777" w:rsidR="005D12F7" w:rsidRPr="00934136" w:rsidRDefault="005D12F7" w:rsidP="00344571">
            <w:pPr>
              <w:pStyle w:val="TableTextRight"/>
            </w:pPr>
            <w:r w:rsidRPr="00934136">
              <w:t>3,438</w:t>
            </w:r>
          </w:p>
        </w:tc>
        <w:tc>
          <w:tcPr>
            <w:tcW w:w="1021" w:type="dxa"/>
          </w:tcPr>
          <w:p w14:paraId="74CAF831" w14:textId="77777777" w:rsidR="005D12F7" w:rsidRPr="00934136" w:rsidRDefault="005D12F7" w:rsidP="00344571">
            <w:pPr>
              <w:pStyle w:val="TableTextRight"/>
            </w:pPr>
            <w:r w:rsidRPr="00934136">
              <w:t>3,806</w:t>
            </w:r>
          </w:p>
        </w:tc>
        <w:tc>
          <w:tcPr>
            <w:tcW w:w="1021" w:type="dxa"/>
          </w:tcPr>
          <w:p w14:paraId="29A06D4F" w14:textId="77777777" w:rsidR="005D12F7" w:rsidRPr="00934136" w:rsidRDefault="005D12F7" w:rsidP="00344571">
            <w:pPr>
              <w:pStyle w:val="TableTextRight"/>
            </w:pPr>
            <w:r w:rsidRPr="00934136">
              <w:t>3,750</w:t>
            </w:r>
          </w:p>
        </w:tc>
        <w:tc>
          <w:tcPr>
            <w:tcW w:w="1021" w:type="dxa"/>
          </w:tcPr>
          <w:p w14:paraId="0A8E2CC5" w14:textId="77777777" w:rsidR="005D12F7" w:rsidRPr="00934136" w:rsidRDefault="005D12F7" w:rsidP="00344571">
            <w:pPr>
              <w:pStyle w:val="TableTextRight"/>
            </w:pPr>
            <w:r w:rsidRPr="00934136">
              <w:t>4,164</w:t>
            </w:r>
          </w:p>
        </w:tc>
      </w:tr>
      <w:tr w:rsidR="005D12F7" w:rsidRPr="00934136" w14:paraId="56AE2D6F" w14:textId="77777777" w:rsidTr="00344571">
        <w:trPr>
          <w:trHeight w:val="68"/>
        </w:trPr>
        <w:tc>
          <w:tcPr>
            <w:tcW w:w="9072" w:type="dxa"/>
            <w:gridSpan w:val="6"/>
            <w:shd w:val="clear" w:color="auto" w:fill="BCCAE5"/>
          </w:tcPr>
          <w:p w14:paraId="522E5636" w14:textId="77777777" w:rsidR="005D12F7" w:rsidRPr="00934136" w:rsidRDefault="005D12F7" w:rsidP="00344571">
            <w:pPr>
              <w:pStyle w:val="TableTextBold"/>
            </w:pPr>
            <w:r w:rsidRPr="00934136">
              <w:t>Quality</w:t>
            </w:r>
          </w:p>
        </w:tc>
      </w:tr>
      <w:tr w:rsidR="005D12F7" w:rsidRPr="00934136" w14:paraId="50F99ED1" w14:textId="77777777" w:rsidTr="00344571">
        <w:trPr>
          <w:trHeight w:val="68"/>
        </w:trPr>
        <w:tc>
          <w:tcPr>
            <w:tcW w:w="3854" w:type="dxa"/>
          </w:tcPr>
          <w:p w14:paraId="7311D0AA" w14:textId="77777777" w:rsidR="005D12F7" w:rsidRPr="00934136" w:rsidRDefault="005D12F7" w:rsidP="00344571">
            <w:pPr>
              <w:pStyle w:val="TableText"/>
            </w:pPr>
            <w:r w:rsidRPr="00934136">
              <w:t>Proportion of high priority breaches resulting in regulatory response</w:t>
            </w:r>
          </w:p>
        </w:tc>
        <w:tc>
          <w:tcPr>
            <w:tcW w:w="1134" w:type="dxa"/>
          </w:tcPr>
          <w:p w14:paraId="0D7F05B1" w14:textId="77777777" w:rsidR="005D12F7" w:rsidRPr="00934136" w:rsidRDefault="005D12F7" w:rsidP="00344571">
            <w:pPr>
              <w:pStyle w:val="TableText"/>
            </w:pPr>
            <w:r w:rsidRPr="00934136">
              <w:t>Per cent</w:t>
            </w:r>
          </w:p>
        </w:tc>
        <w:tc>
          <w:tcPr>
            <w:tcW w:w="1021" w:type="dxa"/>
          </w:tcPr>
          <w:p w14:paraId="5D0A1B8F" w14:textId="77777777" w:rsidR="005D12F7" w:rsidRPr="00934136" w:rsidRDefault="005D12F7" w:rsidP="00344571">
            <w:pPr>
              <w:pStyle w:val="TableTextRight"/>
            </w:pPr>
            <w:r w:rsidRPr="00934136">
              <w:t>98</w:t>
            </w:r>
          </w:p>
        </w:tc>
        <w:tc>
          <w:tcPr>
            <w:tcW w:w="1021" w:type="dxa"/>
          </w:tcPr>
          <w:p w14:paraId="67D028FE" w14:textId="77777777" w:rsidR="005D12F7" w:rsidRPr="00934136" w:rsidRDefault="005D12F7" w:rsidP="00344571">
            <w:pPr>
              <w:pStyle w:val="TableTextRight"/>
            </w:pPr>
            <w:r w:rsidRPr="00934136">
              <w:t>99</w:t>
            </w:r>
          </w:p>
        </w:tc>
        <w:tc>
          <w:tcPr>
            <w:tcW w:w="1021" w:type="dxa"/>
          </w:tcPr>
          <w:p w14:paraId="37C195A1" w14:textId="77777777" w:rsidR="005D12F7" w:rsidRPr="00934136" w:rsidRDefault="005D12F7" w:rsidP="00344571">
            <w:pPr>
              <w:pStyle w:val="TableTextRight"/>
            </w:pPr>
            <w:r w:rsidRPr="00934136">
              <w:t>100</w:t>
            </w:r>
          </w:p>
        </w:tc>
        <w:tc>
          <w:tcPr>
            <w:tcW w:w="1021" w:type="dxa"/>
          </w:tcPr>
          <w:p w14:paraId="189616E9" w14:textId="77777777" w:rsidR="005D12F7" w:rsidRPr="00934136" w:rsidRDefault="005D12F7" w:rsidP="00344571">
            <w:pPr>
              <w:pStyle w:val="TableTextRight"/>
            </w:pPr>
            <w:r w:rsidRPr="00934136">
              <w:t>99</w:t>
            </w:r>
          </w:p>
        </w:tc>
      </w:tr>
      <w:tr w:rsidR="005D12F7" w:rsidRPr="00934136" w14:paraId="1A4BDE2F" w14:textId="77777777" w:rsidTr="00344571">
        <w:trPr>
          <w:trHeight w:val="68"/>
        </w:trPr>
        <w:tc>
          <w:tcPr>
            <w:tcW w:w="3854" w:type="dxa"/>
          </w:tcPr>
          <w:p w14:paraId="134E9E48" w14:textId="77777777" w:rsidR="005D12F7" w:rsidRPr="00934136" w:rsidRDefault="005D12F7" w:rsidP="00344571">
            <w:pPr>
              <w:pStyle w:val="TableText"/>
            </w:pPr>
            <w:r w:rsidRPr="00934136">
              <w:t>Rate of compliance with key consumer laws</w:t>
            </w:r>
          </w:p>
        </w:tc>
        <w:tc>
          <w:tcPr>
            <w:tcW w:w="1134" w:type="dxa"/>
          </w:tcPr>
          <w:p w14:paraId="4A1AE847" w14:textId="77777777" w:rsidR="005D12F7" w:rsidRPr="00934136" w:rsidRDefault="005D12F7" w:rsidP="00344571">
            <w:pPr>
              <w:pStyle w:val="TableText"/>
            </w:pPr>
            <w:r w:rsidRPr="00934136">
              <w:t>Per cent</w:t>
            </w:r>
          </w:p>
        </w:tc>
        <w:tc>
          <w:tcPr>
            <w:tcW w:w="1021" w:type="dxa"/>
          </w:tcPr>
          <w:p w14:paraId="054DC782" w14:textId="77777777" w:rsidR="005D12F7" w:rsidRPr="00934136" w:rsidRDefault="005D12F7" w:rsidP="00344571">
            <w:pPr>
              <w:pStyle w:val="TableTextRight"/>
            </w:pPr>
            <w:r w:rsidRPr="00934136">
              <w:t>90</w:t>
            </w:r>
          </w:p>
        </w:tc>
        <w:tc>
          <w:tcPr>
            <w:tcW w:w="1021" w:type="dxa"/>
          </w:tcPr>
          <w:p w14:paraId="13EB864B" w14:textId="77777777" w:rsidR="005D12F7" w:rsidRPr="00934136" w:rsidRDefault="005D12F7" w:rsidP="00344571">
            <w:pPr>
              <w:pStyle w:val="TableTextRight"/>
            </w:pPr>
            <w:r w:rsidRPr="00934136">
              <w:t>94</w:t>
            </w:r>
          </w:p>
        </w:tc>
        <w:tc>
          <w:tcPr>
            <w:tcW w:w="1021" w:type="dxa"/>
          </w:tcPr>
          <w:p w14:paraId="4D8BAA56" w14:textId="77777777" w:rsidR="005D12F7" w:rsidRPr="00934136" w:rsidRDefault="005D12F7" w:rsidP="00344571">
            <w:pPr>
              <w:pStyle w:val="TableTextRight"/>
            </w:pPr>
            <w:r w:rsidRPr="00934136">
              <w:t>95</w:t>
            </w:r>
          </w:p>
        </w:tc>
        <w:tc>
          <w:tcPr>
            <w:tcW w:w="1021" w:type="dxa"/>
          </w:tcPr>
          <w:p w14:paraId="02127CD6" w14:textId="77777777" w:rsidR="005D12F7" w:rsidRPr="00934136" w:rsidRDefault="005D12F7" w:rsidP="00344571">
            <w:pPr>
              <w:pStyle w:val="TableTextRight"/>
            </w:pPr>
            <w:r w:rsidRPr="00934136">
              <w:t>91</w:t>
            </w:r>
          </w:p>
        </w:tc>
      </w:tr>
      <w:tr w:rsidR="005D12F7" w:rsidRPr="00934136" w14:paraId="2B2FCFEF" w14:textId="77777777" w:rsidTr="00344571">
        <w:trPr>
          <w:trHeight w:val="68"/>
        </w:trPr>
        <w:tc>
          <w:tcPr>
            <w:tcW w:w="9072" w:type="dxa"/>
            <w:gridSpan w:val="6"/>
            <w:shd w:val="clear" w:color="auto" w:fill="BCCAE5"/>
          </w:tcPr>
          <w:p w14:paraId="6B976CA4" w14:textId="77777777" w:rsidR="005D12F7" w:rsidRPr="00934136" w:rsidRDefault="005D12F7" w:rsidP="00344571">
            <w:pPr>
              <w:pStyle w:val="TableTextBold"/>
            </w:pPr>
            <w:r w:rsidRPr="00934136">
              <w:t>Timeliness</w:t>
            </w:r>
          </w:p>
        </w:tc>
      </w:tr>
      <w:tr w:rsidR="005D12F7" w:rsidRPr="00934136" w14:paraId="232F0AD1" w14:textId="77777777" w:rsidTr="00344571">
        <w:trPr>
          <w:trHeight w:val="68"/>
        </w:trPr>
        <w:tc>
          <w:tcPr>
            <w:tcW w:w="3854" w:type="dxa"/>
          </w:tcPr>
          <w:p w14:paraId="6448BD24" w14:textId="77777777" w:rsidR="005D12F7" w:rsidRPr="00934136" w:rsidRDefault="005D12F7" w:rsidP="00344571">
            <w:pPr>
              <w:pStyle w:val="TableText"/>
            </w:pPr>
            <w:r w:rsidRPr="00934136">
              <w:t>Regulatory functions delivered within agreed time frames</w:t>
            </w:r>
          </w:p>
        </w:tc>
        <w:tc>
          <w:tcPr>
            <w:tcW w:w="1134" w:type="dxa"/>
          </w:tcPr>
          <w:p w14:paraId="558D0C8E" w14:textId="77777777" w:rsidR="005D12F7" w:rsidRPr="00934136" w:rsidRDefault="005D12F7" w:rsidP="00344571">
            <w:pPr>
              <w:pStyle w:val="TableText"/>
            </w:pPr>
            <w:r w:rsidRPr="00934136">
              <w:t>Per cent</w:t>
            </w:r>
          </w:p>
        </w:tc>
        <w:tc>
          <w:tcPr>
            <w:tcW w:w="1021" w:type="dxa"/>
          </w:tcPr>
          <w:p w14:paraId="1F2794CE" w14:textId="77777777" w:rsidR="005D12F7" w:rsidRPr="00934136" w:rsidRDefault="005D12F7" w:rsidP="00344571">
            <w:pPr>
              <w:pStyle w:val="TableTextRight"/>
            </w:pPr>
            <w:r w:rsidRPr="00934136">
              <w:t>96</w:t>
            </w:r>
          </w:p>
        </w:tc>
        <w:tc>
          <w:tcPr>
            <w:tcW w:w="1021" w:type="dxa"/>
          </w:tcPr>
          <w:p w14:paraId="4C8467EB" w14:textId="77777777" w:rsidR="005D12F7" w:rsidRPr="00934136" w:rsidRDefault="005D12F7" w:rsidP="00344571">
            <w:pPr>
              <w:pStyle w:val="TableTextRight"/>
            </w:pPr>
            <w:r w:rsidRPr="00934136">
              <w:t>95</w:t>
            </w:r>
          </w:p>
        </w:tc>
        <w:tc>
          <w:tcPr>
            <w:tcW w:w="1021" w:type="dxa"/>
          </w:tcPr>
          <w:p w14:paraId="0E938E59" w14:textId="77777777" w:rsidR="005D12F7" w:rsidRPr="00934136" w:rsidRDefault="005D12F7" w:rsidP="00344571">
            <w:pPr>
              <w:pStyle w:val="TableTextRight"/>
            </w:pPr>
            <w:r w:rsidRPr="00934136">
              <w:t>95</w:t>
            </w:r>
          </w:p>
        </w:tc>
        <w:tc>
          <w:tcPr>
            <w:tcW w:w="1021" w:type="dxa"/>
          </w:tcPr>
          <w:p w14:paraId="4DC895FE" w14:textId="77777777" w:rsidR="005D12F7" w:rsidRPr="00934136" w:rsidRDefault="005D12F7" w:rsidP="00344571">
            <w:pPr>
              <w:pStyle w:val="TableTextRight"/>
            </w:pPr>
            <w:r w:rsidRPr="00934136">
              <w:t>94</w:t>
            </w:r>
          </w:p>
        </w:tc>
      </w:tr>
      <w:tr w:rsidR="005D12F7" w:rsidRPr="00934136" w14:paraId="53820814" w14:textId="77777777" w:rsidTr="00344571">
        <w:trPr>
          <w:trHeight w:val="68"/>
        </w:trPr>
        <w:tc>
          <w:tcPr>
            <w:tcW w:w="9072" w:type="dxa"/>
            <w:gridSpan w:val="6"/>
            <w:shd w:val="clear" w:color="auto" w:fill="BCCAE5"/>
          </w:tcPr>
          <w:p w14:paraId="5EBEA9B9" w14:textId="77777777" w:rsidR="005D12F7" w:rsidRPr="00934136" w:rsidRDefault="005D12F7" w:rsidP="00344571">
            <w:pPr>
              <w:pStyle w:val="TableTextBold"/>
            </w:pPr>
            <w:r w:rsidRPr="00934136">
              <w:t>Cost</w:t>
            </w:r>
          </w:p>
        </w:tc>
      </w:tr>
      <w:tr w:rsidR="005D12F7" w:rsidRPr="00934136" w14:paraId="003FC7F0" w14:textId="77777777" w:rsidTr="00344571">
        <w:trPr>
          <w:trHeight w:val="68"/>
        </w:trPr>
        <w:tc>
          <w:tcPr>
            <w:tcW w:w="3854" w:type="dxa"/>
          </w:tcPr>
          <w:p w14:paraId="3E7CDA5B" w14:textId="77777777" w:rsidR="005D12F7" w:rsidRPr="00934136" w:rsidRDefault="005D12F7" w:rsidP="00344571">
            <w:pPr>
              <w:pStyle w:val="TableText"/>
            </w:pPr>
            <w:r w:rsidRPr="00934136">
              <w:t>Total output cost</w:t>
            </w:r>
            <w:r w:rsidRPr="00934136">
              <w:rPr>
                <w:rFonts w:cs="Arial"/>
              </w:rPr>
              <w:t> </w:t>
            </w:r>
            <w:r w:rsidRPr="00934136">
              <w:rPr>
                <w:rStyle w:val="FootnoteReference"/>
              </w:rPr>
              <w:footnoteReference w:id="8"/>
            </w:r>
          </w:p>
        </w:tc>
        <w:tc>
          <w:tcPr>
            <w:tcW w:w="1134" w:type="dxa"/>
          </w:tcPr>
          <w:p w14:paraId="56D1AEE6" w14:textId="77777777" w:rsidR="005D12F7" w:rsidRPr="00934136" w:rsidRDefault="005D12F7" w:rsidP="00344571">
            <w:pPr>
              <w:pStyle w:val="TableText"/>
            </w:pPr>
            <w:r w:rsidRPr="00934136">
              <w:t>$ million</w:t>
            </w:r>
          </w:p>
        </w:tc>
        <w:tc>
          <w:tcPr>
            <w:tcW w:w="1021" w:type="dxa"/>
          </w:tcPr>
          <w:p w14:paraId="452F7F3A" w14:textId="77777777" w:rsidR="005D12F7" w:rsidRPr="00934136" w:rsidRDefault="005D12F7" w:rsidP="00344571">
            <w:pPr>
              <w:pStyle w:val="TableTextRight"/>
            </w:pPr>
            <w:r w:rsidRPr="00934136">
              <w:t>127.2</w:t>
            </w:r>
          </w:p>
        </w:tc>
        <w:tc>
          <w:tcPr>
            <w:tcW w:w="1021" w:type="dxa"/>
          </w:tcPr>
          <w:p w14:paraId="4A30AD76" w14:textId="77777777" w:rsidR="005D12F7" w:rsidRPr="00934136" w:rsidRDefault="005D12F7" w:rsidP="00344571">
            <w:pPr>
              <w:pStyle w:val="TableTextRight"/>
            </w:pPr>
            <w:r w:rsidRPr="00934136">
              <w:t>128.4</w:t>
            </w:r>
          </w:p>
        </w:tc>
        <w:tc>
          <w:tcPr>
            <w:tcW w:w="1021" w:type="dxa"/>
          </w:tcPr>
          <w:p w14:paraId="487B5618" w14:textId="77777777" w:rsidR="005D12F7" w:rsidRPr="00934136" w:rsidRDefault="005D12F7" w:rsidP="00344571">
            <w:pPr>
              <w:pStyle w:val="TableTextRight"/>
            </w:pPr>
            <w:r w:rsidRPr="00934136">
              <w:t>149.8</w:t>
            </w:r>
          </w:p>
        </w:tc>
        <w:tc>
          <w:tcPr>
            <w:tcW w:w="1021" w:type="dxa"/>
          </w:tcPr>
          <w:p w14:paraId="3EA2A279" w14:textId="77777777" w:rsidR="005D12F7" w:rsidRPr="00934136" w:rsidRDefault="005D12F7" w:rsidP="00344571">
            <w:pPr>
              <w:pStyle w:val="TableTextRight"/>
            </w:pPr>
            <w:r w:rsidRPr="00934136">
              <w:t>186.2</w:t>
            </w:r>
          </w:p>
        </w:tc>
      </w:tr>
    </w:tbl>
    <w:p w14:paraId="29E5FCB5" w14:textId="77777777" w:rsidR="005D12F7" w:rsidRPr="00934136" w:rsidRDefault="005D12F7" w:rsidP="005D12F7">
      <w:pPr>
        <w:pStyle w:val="Heading2"/>
      </w:pPr>
      <w:bookmarkStart w:id="7" w:name="_Toc181015733"/>
      <w:r w:rsidRPr="00934136">
        <w:lastRenderedPageBreak/>
        <w:t>Our achievements</w:t>
      </w:r>
      <w:bookmarkEnd w:id="7"/>
    </w:p>
    <w:p w14:paraId="771C8045" w14:textId="77777777" w:rsidR="005D12F7" w:rsidRPr="00934136" w:rsidRDefault="005D12F7" w:rsidP="005D12F7">
      <w:pPr>
        <w:pStyle w:val="Heading3"/>
      </w:pPr>
      <w:bookmarkStart w:id="8" w:name="_Toc181015734"/>
      <w:r w:rsidRPr="00934136">
        <w:t>Victorians exercise their consumer rights</w:t>
      </w:r>
      <w:bookmarkEnd w:id="8"/>
    </w:p>
    <w:p w14:paraId="1B71E176" w14:textId="77777777" w:rsidR="005D12F7" w:rsidRPr="00934136" w:rsidRDefault="005D12F7" w:rsidP="005D12F7">
      <w:pPr>
        <w:pStyle w:val="Heading4"/>
      </w:pPr>
      <w:r w:rsidRPr="00934136">
        <w:t>Supporting Victorian renters</w:t>
      </w:r>
    </w:p>
    <w:p w14:paraId="7AE33239" w14:textId="77777777" w:rsidR="005D12F7" w:rsidRPr="00934136" w:rsidRDefault="005D12F7" w:rsidP="005D12F7">
      <w:pPr>
        <w:pStyle w:val="BodyText"/>
      </w:pPr>
      <w:r w:rsidRPr="00934136">
        <w:t>Following the introduction of Victoria’s rental law reforms in 2021 and alongside the establishment of the new Renting Taskforce, this year CAV had a strong focus on ensuring renters, rental providers and agents understand and can exercise their rights and meet their responsibilities.</w:t>
      </w:r>
    </w:p>
    <w:p w14:paraId="790AA40C" w14:textId="77777777" w:rsidR="005D12F7" w:rsidRPr="00934136" w:rsidRDefault="005D12F7" w:rsidP="005D12F7">
      <w:pPr>
        <w:pStyle w:val="BodyText"/>
      </w:pPr>
      <w:r w:rsidRPr="00934136">
        <w:t>We provide information and advice on Victoria’s residential tenancies laws via our website and through phone and online enquiries. In 2023–24, CAV answered 66,231 calls related to rental enquiries, while the renting section on the CAV website received 4,983,695 visits. The most popular website pages on renting matters were the rent calculator, giving a notice to vacate to a renter and minimum standards for rental properties.</w:t>
      </w:r>
    </w:p>
    <w:p w14:paraId="28445D91" w14:textId="77777777" w:rsidR="005D12F7" w:rsidRPr="00934136" w:rsidRDefault="005D12F7" w:rsidP="005D12F7">
      <w:pPr>
        <w:pStyle w:val="BodyText"/>
      </w:pPr>
      <w:r w:rsidRPr="00934136">
        <w:t>We also used our social media channels to promote information about Victoria’s renting laws throughout the year. From April to June 2024, we ran an additional state-wide digital communications campaign to remind rental providers, agents and renters of their rights and obligations under Victoria’s mandatory rental minimum standards. The campaign ran across multiple platforms and key real estate websites, and translations helped get the message out to people who don’t speak English. The campaign was seen over 17.7 million times and generated 194,700 visits to the rental minimum standards webpage.</w:t>
      </w:r>
    </w:p>
    <w:p w14:paraId="61C64B3B" w14:textId="77777777" w:rsidR="005D12F7" w:rsidRPr="00934136" w:rsidRDefault="005D12F7" w:rsidP="005D12F7">
      <w:pPr>
        <w:pStyle w:val="BodyText"/>
      </w:pPr>
      <w:r w:rsidRPr="00934136">
        <w:t xml:space="preserve">CAV’s rent investigations play an important role in helping renters avoid unfair rents. Under the </w:t>
      </w:r>
      <w:r w:rsidRPr="00934136">
        <w:rPr>
          <w:rStyle w:val="Emphasis"/>
        </w:rPr>
        <w:t>Residential Tenancies Act 1997</w:t>
      </w:r>
      <w:r w:rsidRPr="00934136">
        <w:t>, renters can ask us to carry out an investigation if they think a proposed rent increase is excessive. We assess the proposed rent against a set of criteria under the law and if we find it is excessive, we can help renters and rental providers reach an agreed rental price. If they cannot agree on a new rent, renters can use our report to apply to the Victorian Civil and Administrative Tribunal (VCAT). VCAT may set a maximum rent.</w:t>
      </w:r>
    </w:p>
    <w:p w14:paraId="4BFD8031" w14:textId="5AD2D285" w:rsidR="005D12F7" w:rsidRPr="00934136" w:rsidRDefault="005D12F7" w:rsidP="005D12F7">
      <w:pPr>
        <w:pStyle w:val="BodyText"/>
      </w:pPr>
      <w:r w:rsidRPr="00934136">
        <w:t>In 2023–24, CAV received 7,469 requests for rent investigations, a 37 per cent increase on last year reflecting ongoing demand for help in the tight rental market. Renters can also ask us to conduct an inspection where there is a dispute over non</w:t>
      </w:r>
      <w:r w:rsidRPr="00934136">
        <w:rPr>
          <w:rFonts w:ascii="Times New Roman" w:hAnsi="Times New Roman" w:cs="Times New Roman"/>
        </w:rPr>
        <w:t>‑</w:t>
      </w:r>
      <w:r w:rsidRPr="00934136">
        <w:t>urgent repairs. In 2023–24, CAV undertook over 570 inspections to help resolve non-urgent repairs matters.</w:t>
      </w:r>
    </w:p>
    <w:p w14:paraId="572BBDB4" w14:textId="77777777" w:rsidR="005D12F7" w:rsidRPr="00934136" w:rsidRDefault="005D12F7" w:rsidP="005D12F7">
      <w:pPr>
        <w:pStyle w:val="Heading4"/>
      </w:pPr>
      <w:r w:rsidRPr="00934136">
        <w:t>Community programs</w:t>
      </w:r>
    </w:p>
    <w:p w14:paraId="44197D6E" w14:textId="77777777" w:rsidR="005D12F7" w:rsidRPr="00934136" w:rsidRDefault="005D12F7" w:rsidP="005D12F7">
      <w:pPr>
        <w:pStyle w:val="BodyText"/>
      </w:pPr>
      <w:r w:rsidRPr="00934136">
        <w:t>CAV continued to fund a range of community services in 2023–24 to ensure financial counselling, renter and consumer assistance was available to Victorians experiencing disadvantage or vulnerability in the marketplace.</w:t>
      </w:r>
    </w:p>
    <w:p w14:paraId="59FA4473" w14:textId="77777777" w:rsidR="005D12F7" w:rsidRPr="00934136" w:rsidRDefault="005D12F7" w:rsidP="005D12F7">
      <w:pPr>
        <w:pStyle w:val="Heading5"/>
      </w:pPr>
      <w:r w:rsidRPr="00934136">
        <w:t>Financial counselling</w:t>
      </w:r>
    </w:p>
    <w:p w14:paraId="7120C3FE" w14:textId="77777777" w:rsidR="005D12F7" w:rsidRPr="00934136" w:rsidRDefault="005D12F7" w:rsidP="005D12F7">
      <w:pPr>
        <w:pStyle w:val="BodyText"/>
      </w:pPr>
      <w:r w:rsidRPr="00934136">
        <w:t>Financial counsellors provide a range of support to help people get their finances back on track, including information and advice on debt or credit issues, support in negotiating with creditors and insurers and working out payment plans. Financial counselling can make a real difference to Victorians in hardship, but services have been under increasing pressure with the rising cost of living, housing pressures and high demand post COVID-19.</w:t>
      </w:r>
    </w:p>
    <w:p w14:paraId="110BEDC6" w14:textId="77777777" w:rsidR="005D12F7" w:rsidRPr="00934136" w:rsidRDefault="005D12F7" w:rsidP="005D12F7">
      <w:pPr>
        <w:pStyle w:val="BodyText"/>
      </w:pPr>
      <w:r w:rsidRPr="00934136">
        <w:lastRenderedPageBreak/>
        <w:t>Through the Financial Counselling Program (FCP), CAV funding supported more than 19,000 clients experiencing financial hardship. During 2023–24, the FCP received $16.7 million in funding from CAV for free and independent financial counselling services to be delivered by community organisations across the state.</w:t>
      </w:r>
    </w:p>
    <w:p w14:paraId="11AD7A35" w14:textId="77777777" w:rsidR="005D12F7" w:rsidRPr="00934136" w:rsidRDefault="005D12F7" w:rsidP="005D12F7">
      <w:pPr>
        <w:pStyle w:val="BodyText"/>
      </w:pPr>
      <w:r w:rsidRPr="00934136">
        <w:t>People experiencing family violence were supported through specialised financial counselling services, provided to 4,164 Victorians. The specialist program was established in response to the Royal Commission into Family Violence. These critical specialist resources helped vulnerable people access financial hardship programs, negotiate with creditors and put in place plans to deal with debts.</w:t>
      </w:r>
    </w:p>
    <w:p w14:paraId="4735FC59" w14:textId="77777777" w:rsidR="005D12F7" w:rsidRPr="00934136" w:rsidRDefault="005D12F7" w:rsidP="005D12F7">
      <w:pPr>
        <w:pStyle w:val="BodyText"/>
      </w:pPr>
      <w:r w:rsidRPr="00934136">
        <w:t>Flood financial counselling was established to support Victorians impacted by the October 2022 floods. During the year these important services were extended until 30 June 2024. Bushfire financial counselling was established in response to the 2020 Victorian bushfires, with services in place until 31 December 2023.</w:t>
      </w:r>
    </w:p>
    <w:p w14:paraId="7D1ECBE7" w14:textId="77777777" w:rsidR="005D12F7" w:rsidRPr="00934136" w:rsidRDefault="005D12F7" w:rsidP="005D12F7">
      <w:pPr>
        <w:pStyle w:val="BodyText"/>
      </w:pPr>
      <w:r w:rsidRPr="00934136">
        <w:t>In May 2024, the Government announced an extra $15 million would be provided through a grant funding round to support financial counselling services for people experiencing financial hardship due to mortgage or rental stress. This funding will be rolled out from 2024–25. CAV will also look to further ways to support this critical sector in the coming year.</w:t>
      </w:r>
    </w:p>
    <w:p w14:paraId="21815A80" w14:textId="77777777" w:rsidR="005D12F7" w:rsidRPr="00934136" w:rsidRDefault="005D12F7" w:rsidP="005D12F7">
      <w:pPr>
        <w:pStyle w:val="Heading5"/>
      </w:pPr>
      <w:r w:rsidRPr="00934136">
        <w:t>Renter services</w:t>
      </w:r>
    </w:p>
    <w:p w14:paraId="7A79A475" w14:textId="77777777" w:rsidR="005D12F7" w:rsidRPr="00934136" w:rsidRDefault="005D12F7" w:rsidP="005D12F7">
      <w:pPr>
        <w:pStyle w:val="BodyText"/>
      </w:pPr>
      <w:r w:rsidRPr="00934136">
        <w:t>CAV supports multiple programs which provide support to people living in rental or retirement housing, with $4.6 million in total funding in 2023–24.</w:t>
      </w:r>
    </w:p>
    <w:p w14:paraId="27A7130B" w14:textId="77777777" w:rsidR="005D12F7" w:rsidRPr="00934136" w:rsidRDefault="005D12F7" w:rsidP="005D12F7">
      <w:pPr>
        <w:pStyle w:val="BodyText"/>
      </w:pPr>
      <w:r w:rsidRPr="00934136">
        <w:t>The Tenancy Assistance and Advocacy Program (TAAP) provides local, place-based support to renters across the state. In 2023–24, TAAP supported 8,625 clients with information and advice, referrals to other support services, negotiation with estate agents or rental providers, and VCAT appearances.</w:t>
      </w:r>
    </w:p>
    <w:p w14:paraId="4F924E42" w14:textId="77777777" w:rsidR="005D12F7" w:rsidRPr="00934136" w:rsidRDefault="005D12F7" w:rsidP="005D12F7">
      <w:pPr>
        <w:pStyle w:val="BodyText"/>
      </w:pPr>
      <w:r w:rsidRPr="00934136">
        <w:t>Workers delivering services under the TAAP are supported by the Tenancy Central Service (TCS), delivered by Tenants Victoria, which provides worker advice, complex casework services and professional development.</w:t>
      </w:r>
    </w:p>
    <w:p w14:paraId="3AD11BD5" w14:textId="77777777" w:rsidR="005D12F7" w:rsidRPr="00934136" w:rsidRDefault="005D12F7" w:rsidP="005D12F7">
      <w:pPr>
        <w:pStyle w:val="BodyText"/>
      </w:pPr>
      <w:r w:rsidRPr="00934136">
        <w:t>The Retirement Housing Assistance and Advocacy Program (RHAAP) is a specialist state-wide program which supports people over 55 living in retirement housing. In 2023–24, RHAAP helped 468 clients through the Retirement Housing Assistance Service (RHAS), retirement housing workers advice line and retirement housing campaigns, media, policy and advocacy.</w:t>
      </w:r>
    </w:p>
    <w:p w14:paraId="03259CC4" w14:textId="77777777" w:rsidR="005D12F7" w:rsidRPr="00934136" w:rsidRDefault="005D12F7" w:rsidP="005D12F7">
      <w:pPr>
        <w:pStyle w:val="BodyText"/>
      </w:pPr>
      <w:r w:rsidRPr="00934136">
        <w:t>CAV funding to the Registered Accommodation Association of Victoria supports best practice operation of registered rooming houses. This funding supports the production of a guide and delivering of online learning opportunities for registered rooming house operators.</w:t>
      </w:r>
    </w:p>
    <w:p w14:paraId="54FBAB46" w14:textId="77777777" w:rsidR="005D12F7" w:rsidRPr="00934136" w:rsidRDefault="005D12F7" w:rsidP="005D12F7">
      <w:pPr>
        <w:pStyle w:val="BodyText"/>
        <w:keepLines/>
      </w:pPr>
      <w:r w:rsidRPr="00934136">
        <w:t>In 2023–24, we continued our funding of the Tenancy Stress Victoria program, providing support for Victorian renters impacted by the October 2022 floods. The program helps renters maintain viable tenancies and avoid homelessness by providing a range of integrated rental, legal and financial counselling services and support.</w:t>
      </w:r>
    </w:p>
    <w:p w14:paraId="764AB98E" w14:textId="77777777" w:rsidR="00EB6E61" w:rsidRPr="00EB6E61" w:rsidRDefault="00EB6E61" w:rsidP="00EB6E61">
      <w:pPr>
        <w:pStyle w:val="BodyText"/>
      </w:pPr>
      <w:r w:rsidRPr="00EB6E61">
        <w:br w:type="page"/>
      </w:r>
    </w:p>
    <w:p w14:paraId="55E66C61" w14:textId="64E31287" w:rsidR="005D12F7" w:rsidRPr="00934136" w:rsidRDefault="005D12F7" w:rsidP="005D12F7">
      <w:pPr>
        <w:pStyle w:val="Heading5"/>
      </w:pPr>
      <w:r w:rsidRPr="00934136">
        <w:lastRenderedPageBreak/>
        <w:t>Rental Stress Support Package</w:t>
      </w:r>
    </w:p>
    <w:p w14:paraId="03D8AED1" w14:textId="77777777" w:rsidR="005D12F7" w:rsidRPr="00934136" w:rsidRDefault="005D12F7" w:rsidP="005D12F7">
      <w:pPr>
        <w:pStyle w:val="BodyText"/>
      </w:pPr>
      <w:r w:rsidRPr="00934136">
        <w:t>Like financial counsellors, rental service providers have experienced high demand in the past year. Under its Housing Statement released in September 2023, the Victorian Government announced a new Rental Stress Support Package to help address the high demand for rental assistance that organisations who work to prevent homelessness and help renters stay in their homes are seeing, while the Government works to boost social, affordable and market housing supply across the state.</w:t>
      </w:r>
    </w:p>
    <w:p w14:paraId="2AB738C8" w14:textId="77777777" w:rsidR="005D12F7" w:rsidRPr="00934136" w:rsidRDefault="005D12F7" w:rsidP="005D12F7">
      <w:pPr>
        <w:pStyle w:val="BodyText"/>
      </w:pPr>
      <w:r w:rsidRPr="00934136">
        <w:t>CAV supported the rollout of this package and in May 2024, the Government announced it had allocated $7.8 million across three years from 2023–24 to 2025–26 to nine not</w:t>
      </w:r>
      <w:r w:rsidRPr="00934136">
        <w:rPr>
          <w:rFonts w:ascii="Times New Roman" w:hAnsi="Times New Roman" w:cs="Times New Roman"/>
        </w:rPr>
        <w:t>‑</w:t>
      </w:r>
      <w:r w:rsidRPr="00934136">
        <w:t>for-profit community service organisations. These organisations will provide people experiencing rental stress with access to additional information and advice, financial counselling, advocacy and legal assistance services.</w:t>
      </w:r>
    </w:p>
    <w:p w14:paraId="520A149E" w14:textId="77777777" w:rsidR="005D12F7" w:rsidRPr="00934136" w:rsidRDefault="005D12F7" w:rsidP="005D12F7">
      <w:pPr>
        <w:pStyle w:val="Heading5"/>
      </w:pPr>
      <w:r w:rsidRPr="00934136">
        <w:t>Consumer assistance</w:t>
      </w:r>
    </w:p>
    <w:p w14:paraId="67C5C192" w14:textId="77777777" w:rsidR="005D12F7" w:rsidRPr="00934136" w:rsidRDefault="005D12F7" w:rsidP="005D12F7">
      <w:pPr>
        <w:pStyle w:val="BodyText"/>
      </w:pPr>
      <w:r w:rsidRPr="00934136">
        <w:t>CAV provides funding to support financially disadvantaged Victorians who need help with complex consumer issues. The Consumer Assistance and Advocacy Program (CAAP) received nearly $980,000 in 2023–24 to provide advice, casework, and advocacy services to Victorian consumers, empowering 241 individuals to exercise their consumer rights in 2023–24. Additionally, we allocated $1.37 million to the Consumer Policy Research Centre for research on important consumer law issues, particularly how they impact consumers experiencing vulnerability.</w:t>
      </w:r>
    </w:p>
    <w:p w14:paraId="289FE584" w14:textId="77777777" w:rsidR="005D12F7" w:rsidRPr="00934136" w:rsidRDefault="005D12F7" w:rsidP="005D12F7">
      <w:pPr>
        <w:pStyle w:val="BodyText"/>
      </w:pPr>
      <w:r w:rsidRPr="00934136">
        <w:t>Through the Domestic Building Legal Service (DBLS), CAV provided $700,000 to support Victorians with domestic building disputes. The DBLS provides information and support to domestic building consumers whose matters have not successfully resolved through Domestic Building Dispute Resolution Victoria. In 2023–24, the DBLS assisted 168 clients. CAV is also currently reviewing the DBLS so it remains fit-for-purpose for all Victorians who need these supports.</w:t>
      </w:r>
    </w:p>
    <w:p w14:paraId="1934CCE0" w14:textId="77777777" w:rsidR="005D12F7" w:rsidRPr="00934136" w:rsidRDefault="005D12F7" w:rsidP="005D12F7">
      <w:pPr>
        <w:pStyle w:val="Heading4"/>
      </w:pPr>
      <w:r w:rsidRPr="00934136">
        <w:t>Domestic building assistance</w:t>
      </w:r>
    </w:p>
    <w:p w14:paraId="19A471A3" w14:textId="77777777" w:rsidR="005D12F7" w:rsidRPr="00934136" w:rsidRDefault="005D12F7" w:rsidP="005D12F7">
      <w:pPr>
        <w:pStyle w:val="BodyText"/>
      </w:pPr>
      <w:r w:rsidRPr="00934136">
        <w:t>In 2023 and 2024, several domestic builders went into liquidation. Their closure affected thousands of projects; customers with incomplete homes faced out-of-pocket costs of tens of thousands of dollars, plus higher costs when finding another company to finish construction.</w:t>
      </w:r>
    </w:p>
    <w:p w14:paraId="54A83FE6" w14:textId="77777777" w:rsidR="005D12F7" w:rsidRPr="00934136" w:rsidRDefault="005D12F7" w:rsidP="005D12F7">
      <w:pPr>
        <w:pStyle w:val="BodyText"/>
      </w:pPr>
      <w:r w:rsidRPr="00934136">
        <w:t>Some impacted customers could claim compensation under the builder’s domestic building insurance, but many had no insurance cover due to the builder’s failure to take out the required insurance. The government established two government funded payment schemes to support customers of approved liquidated builders who had failed to take out domestic building insurance on their behalf.</w:t>
      </w:r>
    </w:p>
    <w:p w14:paraId="55A8318C" w14:textId="77777777" w:rsidR="005D12F7" w:rsidRPr="00934136" w:rsidRDefault="005D12F7" w:rsidP="005D12F7">
      <w:pPr>
        <w:pStyle w:val="BodyText"/>
      </w:pPr>
      <w:r w:rsidRPr="00934136">
        <w:t>CAV continued to provide updated information and support to help Victorian consumers navigate domestic building issues and disputes throughout 2023–24. We provided information on how to access the government payment schemes and on other emerging issues via our website, Building Information Line and social media. This included new advice on dealing with home builders who go into voluntary administration and the ban on the supply or installation of certain engineered stone products, which came into effect in Victoria from 1 July 2024.</w:t>
      </w:r>
    </w:p>
    <w:p w14:paraId="30819D47" w14:textId="77777777" w:rsidR="005D12F7" w:rsidRPr="00934136" w:rsidRDefault="005D12F7" w:rsidP="00EB6E61">
      <w:pPr>
        <w:pStyle w:val="BodyText"/>
        <w:keepLines/>
      </w:pPr>
      <w:r w:rsidRPr="00934136">
        <w:lastRenderedPageBreak/>
        <w:t xml:space="preserve">In February 2024, two new offences with significant penalties were also inserted into the </w:t>
      </w:r>
      <w:r w:rsidRPr="00934136">
        <w:rPr>
          <w:rStyle w:val="Emphasis"/>
        </w:rPr>
        <w:t>Domestic Building Contracts Act 1995</w:t>
      </w:r>
      <w:r w:rsidRPr="00934136">
        <w:t>, for builders who demand or receive money under a major domestic building contract with consumers without holding the required domestic building insurance on behalf of their customers. These offences will ensure Victorians building or renovating their homes have strong protections, and that builders face appropriate consequences when they fail to comply with insurance requirements. While the Victorian Building Authority (VBA) is the lead regulator for the new offences, CAV also has powers to monitor and enforce these new obligations.</w:t>
      </w:r>
    </w:p>
    <w:p w14:paraId="777B8954" w14:textId="77777777" w:rsidR="005D12F7" w:rsidRPr="00934136" w:rsidRDefault="005D12F7" w:rsidP="005D12F7">
      <w:pPr>
        <w:pStyle w:val="BodyText"/>
      </w:pPr>
      <w:r w:rsidRPr="00934136">
        <w:t xml:space="preserve">The government is also taking further actions to ensure Victoria’s building legislative framework is fit for purpose, including a current review of the </w:t>
      </w:r>
      <w:r w:rsidRPr="00934136">
        <w:rPr>
          <w:rStyle w:val="Emphasis"/>
        </w:rPr>
        <w:t>Domestic Building Contracts Act 1995</w:t>
      </w:r>
      <w:r w:rsidRPr="00934136">
        <w:t xml:space="preserve"> and reviewing the role of all regulators. CAV will continue to prioritise responses to domestic building issues in the coming year.</w:t>
      </w:r>
    </w:p>
    <w:p w14:paraId="6AE3DF95" w14:textId="77777777" w:rsidR="005D12F7" w:rsidRPr="00934136" w:rsidRDefault="005D12F7" w:rsidP="005D12F7">
      <w:pPr>
        <w:pStyle w:val="Heading4"/>
      </w:pPr>
      <w:r w:rsidRPr="00934136">
        <w:t>Table: Information, advice and assistance provided to consumers</w:t>
      </w:r>
    </w:p>
    <w:tbl>
      <w:tblPr>
        <w:tblStyle w:val="TableGrid"/>
        <w:tblW w:w="9072" w:type="dxa"/>
        <w:tblLayout w:type="fixed"/>
        <w:tblLook w:val="06A0" w:firstRow="1" w:lastRow="0" w:firstColumn="1" w:lastColumn="0" w:noHBand="1" w:noVBand="1"/>
      </w:tblPr>
      <w:tblGrid>
        <w:gridCol w:w="6009"/>
        <w:gridCol w:w="1021"/>
        <w:gridCol w:w="1021"/>
        <w:gridCol w:w="1021"/>
      </w:tblGrid>
      <w:tr w:rsidR="005D12F7" w:rsidRPr="00934136" w14:paraId="772A564B" w14:textId="77777777" w:rsidTr="005D12F7">
        <w:trPr>
          <w:cnfStyle w:val="100000000000" w:firstRow="1" w:lastRow="0" w:firstColumn="0" w:lastColumn="0" w:oddVBand="0" w:evenVBand="0" w:oddHBand="0" w:evenHBand="0" w:firstRowFirstColumn="0" w:firstRowLastColumn="0" w:lastRowFirstColumn="0" w:lastRowLastColumn="0"/>
          <w:trHeight w:val="283"/>
          <w:tblHeader/>
        </w:trPr>
        <w:tc>
          <w:tcPr>
            <w:tcW w:w="6009" w:type="dxa"/>
          </w:tcPr>
          <w:p w14:paraId="76FBC048" w14:textId="77777777" w:rsidR="005D12F7" w:rsidRPr="00934136" w:rsidRDefault="005D12F7" w:rsidP="00EB6E61">
            <w:pPr>
              <w:pStyle w:val="TableColHead"/>
              <w:spacing w:before="70" w:after="50"/>
            </w:pPr>
          </w:p>
        </w:tc>
        <w:tc>
          <w:tcPr>
            <w:tcW w:w="1021" w:type="dxa"/>
          </w:tcPr>
          <w:p w14:paraId="330C73CE" w14:textId="01B247D8" w:rsidR="005D12F7" w:rsidRPr="00934136" w:rsidRDefault="005D12F7" w:rsidP="00EB6E61">
            <w:pPr>
              <w:pStyle w:val="TableColHeadRight"/>
              <w:spacing w:before="70" w:after="50"/>
            </w:pPr>
            <w:r w:rsidRPr="00934136">
              <w:t>2021–22</w:t>
            </w:r>
          </w:p>
        </w:tc>
        <w:tc>
          <w:tcPr>
            <w:tcW w:w="1021" w:type="dxa"/>
          </w:tcPr>
          <w:p w14:paraId="7FC3842B" w14:textId="19C28756" w:rsidR="005D12F7" w:rsidRPr="00934136" w:rsidRDefault="005D12F7" w:rsidP="00EB6E61">
            <w:pPr>
              <w:pStyle w:val="TableColHeadRight"/>
              <w:spacing w:before="70" w:after="50"/>
            </w:pPr>
            <w:r w:rsidRPr="00934136">
              <w:t>2022–23</w:t>
            </w:r>
          </w:p>
        </w:tc>
        <w:tc>
          <w:tcPr>
            <w:tcW w:w="1021" w:type="dxa"/>
          </w:tcPr>
          <w:p w14:paraId="0AB259C3" w14:textId="549CADC9" w:rsidR="005D12F7" w:rsidRPr="00934136" w:rsidRDefault="005D12F7" w:rsidP="00EB6E61">
            <w:pPr>
              <w:pStyle w:val="TableColHeadRight"/>
              <w:spacing w:before="70" w:after="50"/>
            </w:pPr>
            <w:r w:rsidRPr="00934136">
              <w:t>2023–24</w:t>
            </w:r>
          </w:p>
        </w:tc>
      </w:tr>
      <w:tr w:rsidR="005D12F7" w:rsidRPr="00934136" w14:paraId="05AD7403" w14:textId="77777777" w:rsidTr="005D12F7">
        <w:trPr>
          <w:trHeight w:val="283"/>
        </w:trPr>
        <w:tc>
          <w:tcPr>
            <w:tcW w:w="9072" w:type="dxa"/>
            <w:gridSpan w:val="4"/>
            <w:shd w:val="clear" w:color="auto" w:fill="BCCAE5"/>
          </w:tcPr>
          <w:p w14:paraId="2E3D6DE3" w14:textId="77777777" w:rsidR="005D12F7" w:rsidRPr="00934136" w:rsidRDefault="005D12F7" w:rsidP="00EB6E61">
            <w:pPr>
              <w:pStyle w:val="TableTextBold"/>
              <w:spacing w:before="70" w:after="50"/>
            </w:pPr>
            <w:r w:rsidRPr="00934136">
              <w:t>Information and advice</w:t>
            </w:r>
          </w:p>
        </w:tc>
      </w:tr>
      <w:tr w:rsidR="005D12F7" w:rsidRPr="00934136" w14:paraId="76013054" w14:textId="77777777" w:rsidTr="005D12F7">
        <w:trPr>
          <w:trHeight w:val="283"/>
        </w:trPr>
        <w:tc>
          <w:tcPr>
            <w:tcW w:w="6009" w:type="dxa"/>
          </w:tcPr>
          <w:p w14:paraId="6A4842B2" w14:textId="510FC284" w:rsidR="005D12F7" w:rsidRPr="00934136" w:rsidRDefault="005D12F7" w:rsidP="00EB6E61">
            <w:pPr>
              <w:pStyle w:val="TableText"/>
              <w:spacing w:before="70" w:after="50"/>
            </w:pPr>
            <w:r w:rsidRPr="00934136">
              <w:t>Calls answered</w:t>
            </w:r>
          </w:p>
        </w:tc>
        <w:tc>
          <w:tcPr>
            <w:tcW w:w="1021" w:type="dxa"/>
          </w:tcPr>
          <w:p w14:paraId="71339BED" w14:textId="5303B23D" w:rsidR="005D12F7" w:rsidRPr="00934136" w:rsidRDefault="005D12F7" w:rsidP="00EB6E61">
            <w:pPr>
              <w:pStyle w:val="TableTextRight"/>
              <w:spacing w:before="70" w:after="50"/>
            </w:pPr>
            <w:r w:rsidRPr="00934136">
              <w:t>245,141</w:t>
            </w:r>
          </w:p>
        </w:tc>
        <w:tc>
          <w:tcPr>
            <w:tcW w:w="1021" w:type="dxa"/>
          </w:tcPr>
          <w:p w14:paraId="63F1B733" w14:textId="6B094570" w:rsidR="005D12F7" w:rsidRPr="00934136" w:rsidRDefault="005D12F7" w:rsidP="00EB6E61">
            <w:pPr>
              <w:pStyle w:val="TableTextRight"/>
              <w:spacing w:before="70" w:after="50"/>
            </w:pPr>
            <w:r w:rsidRPr="00934136">
              <w:t>206,025</w:t>
            </w:r>
          </w:p>
        </w:tc>
        <w:tc>
          <w:tcPr>
            <w:tcW w:w="1021" w:type="dxa"/>
          </w:tcPr>
          <w:p w14:paraId="4B0E1324" w14:textId="3C8D014C" w:rsidR="005D12F7" w:rsidRPr="00934136" w:rsidRDefault="005D12F7" w:rsidP="00EB6E61">
            <w:pPr>
              <w:pStyle w:val="TableTextRight"/>
              <w:spacing w:before="70" w:after="50"/>
            </w:pPr>
            <w:r w:rsidRPr="00934136">
              <w:t>220,741</w:t>
            </w:r>
          </w:p>
        </w:tc>
      </w:tr>
      <w:tr w:rsidR="005D12F7" w:rsidRPr="00934136" w14:paraId="5A1C3CF7" w14:textId="77777777" w:rsidTr="005D12F7">
        <w:trPr>
          <w:trHeight w:val="283"/>
        </w:trPr>
        <w:tc>
          <w:tcPr>
            <w:tcW w:w="6009" w:type="dxa"/>
          </w:tcPr>
          <w:p w14:paraId="1B7442A3" w14:textId="48D46223" w:rsidR="005D12F7" w:rsidRPr="00934136" w:rsidRDefault="005D12F7" w:rsidP="00EB6E61">
            <w:pPr>
              <w:pStyle w:val="TableText"/>
              <w:spacing w:before="70" w:after="50"/>
            </w:pPr>
            <w:r w:rsidRPr="00934136">
              <w:t>Letters, emails and online enquiries</w:t>
            </w:r>
          </w:p>
        </w:tc>
        <w:tc>
          <w:tcPr>
            <w:tcW w:w="1021" w:type="dxa"/>
          </w:tcPr>
          <w:p w14:paraId="562D2DDF" w14:textId="16C5BB8C" w:rsidR="005D12F7" w:rsidRPr="00934136" w:rsidRDefault="005D12F7" w:rsidP="00EB6E61">
            <w:pPr>
              <w:pStyle w:val="TableTextRight"/>
              <w:spacing w:before="70" w:after="50"/>
            </w:pPr>
            <w:r w:rsidRPr="00934136">
              <w:t>63,325</w:t>
            </w:r>
          </w:p>
        </w:tc>
        <w:tc>
          <w:tcPr>
            <w:tcW w:w="1021" w:type="dxa"/>
          </w:tcPr>
          <w:p w14:paraId="1E45A8DE" w14:textId="3AB8B3BD" w:rsidR="005D12F7" w:rsidRPr="00934136" w:rsidRDefault="005D12F7" w:rsidP="00EB6E61">
            <w:pPr>
              <w:pStyle w:val="TableTextRight"/>
              <w:spacing w:before="70" w:after="50"/>
            </w:pPr>
            <w:r w:rsidRPr="00934136">
              <w:t>75,797</w:t>
            </w:r>
          </w:p>
        </w:tc>
        <w:tc>
          <w:tcPr>
            <w:tcW w:w="1021" w:type="dxa"/>
          </w:tcPr>
          <w:p w14:paraId="716C12DB" w14:textId="5AD4373F" w:rsidR="005D12F7" w:rsidRPr="00934136" w:rsidRDefault="005D12F7" w:rsidP="00EB6E61">
            <w:pPr>
              <w:pStyle w:val="TableTextRight"/>
              <w:spacing w:before="70" w:after="50"/>
            </w:pPr>
            <w:r w:rsidRPr="00934136">
              <w:t>80,040</w:t>
            </w:r>
          </w:p>
        </w:tc>
      </w:tr>
      <w:tr w:rsidR="005D12F7" w:rsidRPr="00934136" w14:paraId="174A5044" w14:textId="77777777" w:rsidTr="005D12F7">
        <w:trPr>
          <w:trHeight w:val="283"/>
        </w:trPr>
        <w:tc>
          <w:tcPr>
            <w:tcW w:w="9072" w:type="dxa"/>
            <w:gridSpan w:val="4"/>
            <w:shd w:val="clear" w:color="auto" w:fill="BCCAE5"/>
          </w:tcPr>
          <w:p w14:paraId="26A80812" w14:textId="77777777" w:rsidR="005D12F7" w:rsidRPr="00934136" w:rsidRDefault="005D12F7" w:rsidP="00EB6E61">
            <w:pPr>
              <w:pStyle w:val="TableTextBold"/>
              <w:spacing w:before="70" w:after="50"/>
            </w:pPr>
            <w:r w:rsidRPr="00934136">
              <w:t>Advice provided to resolve disputes</w:t>
            </w:r>
          </w:p>
        </w:tc>
      </w:tr>
      <w:tr w:rsidR="005D12F7" w:rsidRPr="00934136" w14:paraId="0524F5E8" w14:textId="77777777" w:rsidTr="005D12F7">
        <w:trPr>
          <w:trHeight w:val="283"/>
        </w:trPr>
        <w:tc>
          <w:tcPr>
            <w:tcW w:w="6009" w:type="dxa"/>
          </w:tcPr>
          <w:p w14:paraId="18F5FD3F" w14:textId="7C6B9885" w:rsidR="005D12F7" w:rsidRPr="00934136" w:rsidRDefault="005D12F7" w:rsidP="00EB6E61">
            <w:pPr>
              <w:pStyle w:val="TableText"/>
              <w:spacing w:before="70" w:after="50"/>
            </w:pPr>
            <w:r w:rsidRPr="00934136">
              <w:t>Disputes finalised</w:t>
            </w:r>
          </w:p>
        </w:tc>
        <w:tc>
          <w:tcPr>
            <w:tcW w:w="1021" w:type="dxa"/>
          </w:tcPr>
          <w:p w14:paraId="30012ABC" w14:textId="5F23A4D3" w:rsidR="005D12F7" w:rsidRPr="00934136" w:rsidRDefault="005D12F7" w:rsidP="00EB6E61">
            <w:pPr>
              <w:pStyle w:val="TableTextRight"/>
              <w:spacing w:before="70" w:after="50"/>
            </w:pPr>
            <w:r w:rsidRPr="00934136">
              <w:t>6,709</w:t>
            </w:r>
          </w:p>
        </w:tc>
        <w:tc>
          <w:tcPr>
            <w:tcW w:w="1021" w:type="dxa"/>
          </w:tcPr>
          <w:p w14:paraId="37D147C3" w14:textId="73972A66" w:rsidR="005D12F7" w:rsidRPr="00934136" w:rsidRDefault="005D12F7" w:rsidP="00EB6E61">
            <w:pPr>
              <w:pStyle w:val="TableTextRight"/>
              <w:spacing w:before="70" w:after="50"/>
            </w:pPr>
            <w:r w:rsidRPr="00934136">
              <w:t>4,730</w:t>
            </w:r>
          </w:p>
        </w:tc>
        <w:tc>
          <w:tcPr>
            <w:tcW w:w="1021" w:type="dxa"/>
          </w:tcPr>
          <w:p w14:paraId="72BAD908" w14:textId="57C001EA" w:rsidR="005D12F7" w:rsidRPr="00934136" w:rsidRDefault="005D12F7" w:rsidP="00EB6E61">
            <w:pPr>
              <w:pStyle w:val="TableTextRight"/>
              <w:spacing w:before="70" w:after="50"/>
            </w:pPr>
            <w:r w:rsidRPr="00934136">
              <w:t>4,499</w:t>
            </w:r>
          </w:p>
        </w:tc>
      </w:tr>
      <w:tr w:rsidR="005D12F7" w:rsidRPr="00934136" w14:paraId="22F2136E" w14:textId="77777777" w:rsidTr="005D12F7">
        <w:trPr>
          <w:trHeight w:val="283"/>
        </w:trPr>
        <w:tc>
          <w:tcPr>
            <w:tcW w:w="9072" w:type="dxa"/>
            <w:gridSpan w:val="4"/>
            <w:shd w:val="clear" w:color="auto" w:fill="BCCAE5"/>
          </w:tcPr>
          <w:p w14:paraId="75FA6B44" w14:textId="77777777" w:rsidR="005D12F7" w:rsidRPr="00934136" w:rsidRDefault="005D12F7" w:rsidP="00EB6E61">
            <w:pPr>
              <w:pStyle w:val="TableTextBold"/>
              <w:spacing w:before="70" w:after="50"/>
            </w:pPr>
            <w:r w:rsidRPr="00934136">
              <w:t>Digital</w:t>
            </w:r>
          </w:p>
        </w:tc>
      </w:tr>
      <w:tr w:rsidR="005D12F7" w:rsidRPr="00934136" w14:paraId="0ADB0621" w14:textId="77777777" w:rsidTr="005D12F7">
        <w:trPr>
          <w:trHeight w:val="283"/>
        </w:trPr>
        <w:tc>
          <w:tcPr>
            <w:tcW w:w="6009" w:type="dxa"/>
          </w:tcPr>
          <w:p w14:paraId="3BE02306" w14:textId="1E559AF3" w:rsidR="005D12F7" w:rsidRPr="00934136" w:rsidRDefault="005D12F7" w:rsidP="00EB6E61">
            <w:pPr>
              <w:pStyle w:val="TableText"/>
              <w:spacing w:before="70" w:after="50"/>
            </w:pPr>
            <w:r w:rsidRPr="00934136">
              <w:t>Website visits</w:t>
            </w:r>
          </w:p>
        </w:tc>
        <w:tc>
          <w:tcPr>
            <w:tcW w:w="1021" w:type="dxa"/>
          </w:tcPr>
          <w:p w14:paraId="20AC82A3" w14:textId="33564CD5" w:rsidR="005D12F7" w:rsidRPr="00934136" w:rsidRDefault="005D12F7" w:rsidP="00EB6E61">
            <w:pPr>
              <w:pStyle w:val="TableTextRight"/>
              <w:spacing w:before="70" w:after="50"/>
            </w:pPr>
            <w:r w:rsidRPr="00934136">
              <w:t>5,415,957</w:t>
            </w:r>
          </w:p>
        </w:tc>
        <w:tc>
          <w:tcPr>
            <w:tcW w:w="1021" w:type="dxa"/>
          </w:tcPr>
          <w:p w14:paraId="151C5872" w14:textId="592C6ABD" w:rsidR="005D12F7" w:rsidRPr="00934136" w:rsidRDefault="005D12F7" w:rsidP="00EB6E61">
            <w:pPr>
              <w:pStyle w:val="TableTextRight"/>
              <w:spacing w:before="70" w:after="50"/>
            </w:pPr>
            <w:r w:rsidRPr="00934136">
              <w:t>5,664,114</w:t>
            </w:r>
          </w:p>
        </w:tc>
        <w:tc>
          <w:tcPr>
            <w:tcW w:w="1021" w:type="dxa"/>
          </w:tcPr>
          <w:p w14:paraId="7B79CDD9" w14:textId="7A64EEAB" w:rsidR="005D12F7" w:rsidRPr="00934136" w:rsidRDefault="005D12F7" w:rsidP="00EB6E61">
            <w:pPr>
              <w:pStyle w:val="TableTextRight"/>
              <w:spacing w:before="70" w:after="50"/>
            </w:pPr>
            <w:r w:rsidRPr="00934136">
              <w:t>7,211,581</w:t>
            </w:r>
          </w:p>
        </w:tc>
      </w:tr>
      <w:tr w:rsidR="005D12F7" w:rsidRPr="00934136" w14:paraId="217560AC" w14:textId="77777777" w:rsidTr="005D12F7">
        <w:trPr>
          <w:trHeight w:val="283"/>
        </w:trPr>
        <w:tc>
          <w:tcPr>
            <w:tcW w:w="6009" w:type="dxa"/>
          </w:tcPr>
          <w:p w14:paraId="05717AB7" w14:textId="6171CFEF" w:rsidR="005D12F7" w:rsidRPr="00934136" w:rsidRDefault="005D12F7" w:rsidP="00EB6E61">
            <w:pPr>
              <w:pStyle w:val="TableText"/>
              <w:spacing w:before="70" w:after="50"/>
            </w:pPr>
            <w:r w:rsidRPr="00934136">
              <w:t>Twitter followers</w:t>
            </w:r>
          </w:p>
        </w:tc>
        <w:tc>
          <w:tcPr>
            <w:tcW w:w="1021" w:type="dxa"/>
          </w:tcPr>
          <w:p w14:paraId="6D7D7EFE" w14:textId="311013F8" w:rsidR="005D12F7" w:rsidRPr="00934136" w:rsidRDefault="005D12F7" w:rsidP="00EB6E61">
            <w:pPr>
              <w:pStyle w:val="TableTextRight"/>
              <w:spacing w:before="70" w:after="50"/>
            </w:pPr>
            <w:r w:rsidRPr="00934136">
              <w:t>10,717</w:t>
            </w:r>
          </w:p>
        </w:tc>
        <w:tc>
          <w:tcPr>
            <w:tcW w:w="1021" w:type="dxa"/>
          </w:tcPr>
          <w:p w14:paraId="027DBF2D" w14:textId="799902D0" w:rsidR="005D12F7" w:rsidRPr="00934136" w:rsidRDefault="005D12F7" w:rsidP="00EB6E61">
            <w:pPr>
              <w:pStyle w:val="TableTextRight"/>
              <w:spacing w:before="70" w:after="50"/>
            </w:pPr>
            <w:r w:rsidRPr="00934136">
              <w:t>10,557</w:t>
            </w:r>
          </w:p>
        </w:tc>
        <w:tc>
          <w:tcPr>
            <w:tcW w:w="1021" w:type="dxa"/>
          </w:tcPr>
          <w:p w14:paraId="2D1BE037" w14:textId="73DB9D0D" w:rsidR="005D12F7" w:rsidRPr="00934136" w:rsidRDefault="005D12F7" w:rsidP="00EB6E61">
            <w:pPr>
              <w:pStyle w:val="TableTextRight"/>
              <w:spacing w:before="70" w:after="50"/>
            </w:pPr>
            <w:r w:rsidRPr="00934136">
              <w:t>10,461</w:t>
            </w:r>
          </w:p>
        </w:tc>
      </w:tr>
      <w:tr w:rsidR="005D12F7" w:rsidRPr="00934136" w14:paraId="6D499E9C" w14:textId="77777777" w:rsidTr="005D12F7">
        <w:trPr>
          <w:trHeight w:val="283"/>
        </w:trPr>
        <w:tc>
          <w:tcPr>
            <w:tcW w:w="6009" w:type="dxa"/>
          </w:tcPr>
          <w:p w14:paraId="2F0A63ED" w14:textId="63C211C6" w:rsidR="005D12F7" w:rsidRPr="00934136" w:rsidRDefault="005D12F7" w:rsidP="00EB6E61">
            <w:pPr>
              <w:pStyle w:val="TableText"/>
              <w:spacing w:before="70" w:after="50"/>
            </w:pPr>
            <w:r w:rsidRPr="00934136">
              <w:t>Facebook page followers</w:t>
            </w:r>
          </w:p>
        </w:tc>
        <w:tc>
          <w:tcPr>
            <w:tcW w:w="1021" w:type="dxa"/>
          </w:tcPr>
          <w:p w14:paraId="3CA852D7" w14:textId="178564D9" w:rsidR="005D12F7" w:rsidRPr="00934136" w:rsidRDefault="005D12F7" w:rsidP="00EB6E61">
            <w:pPr>
              <w:pStyle w:val="TableTextRight"/>
              <w:spacing w:before="70" w:after="50"/>
            </w:pPr>
            <w:r w:rsidRPr="00934136">
              <w:t>49,941</w:t>
            </w:r>
          </w:p>
        </w:tc>
        <w:tc>
          <w:tcPr>
            <w:tcW w:w="1021" w:type="dxa"/>
          </w:tcPr>
          <w:p w14:paraId="207ED07C" w14:textId="3E5FF024" w:rsidR="005D12F7" w:rsidRPr="00934136" w:rsidRDefault="005D12F7" w:rsidP="00EB6E61">
            <w:pPr>
              <w:pStyle w:val="TableTextRight"/>
              <w:spacing w:before="70" w:after="50"/>
            </w:pPr>
            <w:r w:rsidRPr="00934136">
              <w:t>52,388</w:t>
            </w:r>
          </w:p>
        </w:tc>
        <w:tc>
          <w:tcPr>
            <w:tcW w:w="1021" w:type="dxa"/>
          </w:tcPr>
          <w:p w14:paraId="3C10D860" w14:textId="022F0E91" w:rsidR="005D12F7" w:rsidRPr="00934136" w:rsidRDefault="005D12F7" w:rsidP="00EB6E61">
            <w:pPr>
              <w:pStyle w:val="TableTextRight"/>
              <w:spacing w:before="70" w:after="50"/>
            </w:pPr>
            <w:r w:rsidRPr="00934136">
              <w:t>52,512</w:t>
            </w:r>
          </w:p>
        </w:tc>
      </w:tr>
      <w:tr w:rsidR="005D12F7" w:rsidRPr="00934136" w14:paraId="0C25DD3B" w14:textId="77777777" w:rsidTr="005D12F7">
        <w:trPr>
          <w:trHeight w:val="283"/>
        </w:trPr>
        <w:tc>
          <w:tcPr>
            <w:tcW w:w="6009" w:type="dxa"/>
          </w:tcPr>
          <w:p w14:paraId="3C56A84E" w14:textId="787E715B" w:rsidR="005D12F7" w:rsidRPr="00934136" w:rsidRDefault="005D12F7" w:rsidP="00EB6E61">
            <w:pPr>
              <w:pStyle w:val="TableText"/>
              <w:spacing w:before="70" w:after="50"/>
            </w:pPr>
            <w:r w:rsidRPr="00934136">
              <w:t>YouTube video views</w:t>
            </w:r>
          </w:p>
        </w:tc>
        <w:tc>
          <w:tcPr>
            <w:tcW w:w="1021" w:type="dxa"/>
          </w:tcPr>
          <w:p w14:paraId="638385E3" w14:textId="286551A6" w:rsidR="005D12F7" w:rsidRPr="00934136" w:rsidRDefault="005D12F7" w:rsidP="00EB6E61">
            <w:pPr>
              <w:pStyle w:val="TableTextRight"/>
              <w:spacing w:before="70" w:after="50"/>
            </w:pPr>
            <w:r w:rsidRPr="00934136">
              <w:t>68,363</w:t>
            </w:r>
          </w:p>
        </w:tc>
        <w:tc>
          <w:tcPr>
            <w:tcW w:w="1021" w:type="dxa"/>
          </w:tcPr>
          <w:p w14:paraId="47B42F3B" w14:textId="0069D9E8" w:rsidR="005D12F7" w:rsidRPr="00934136" w:rsidRDefault="005D12F7" w:rsidP="00EB6E61">
            <w:pPr>
              <w:pStyle w:val="TableTextRight"/>
              <w:spacing w:before="70" w:after="50"/>
            </w:pPr>
            <w:r w:rsidRPr="00934136">
              <w:t>54,594</w:t>
            </w:r>
          </w:p>
        </w:tc>
        <w:tc>
          <w:tcPr>
            <w:tcW w:w="1021" w:type="dxa"/>
          </w:tcPr>
          <w:p w14:paraId="6684B523" w14:textId="685F4942" w:rsidR="005D12F7" w:rsidRPr="00934136" w:rsidRDefault="005D12F7" w:rsidP="00EB6E61">
            <w:pPr>
              <w:pStyle w:val="TableTextRight"/>
              <w:spacing w:before="70" w:after="50"/>
            </w:pPr>
            <w:r w:rsidRPr="00934136">
              <w:t>42,356</w:t>
            </w:r>
          </w:p>
        </w:tc>
      </w:tr>
      <w:tr w:rsidR="005D12F7" w:rsidRPr="00934136" w14:paraId="03967803" w14:textId="77777777" w:rsidTr="005D12F7">
        <w:trPr>
          <w:trHeight w:val="283"/>
        </w:trPr>
        <w:tc>
          <w:tcPr>
            <w:tcW w:w="9072" w:type="dxa"/>
            <w:gridSpan w:val="4"/>
            <w:shd w:val="clear" w:color="auto" w:fill="BCCAE5"/>
          </w:tcPr>
          <w:p w14:paraId="23A4C7EC" w14:textId="14F09725" w:rsidR="005D12F7" w:rsidRPr="00934136" w:rsidRDefault="005D12F7" w:rsidP="00EB6E61">
            <w:pPr>
              <w:pStyle w:val="TableTextBold"/>
              <w:spacing w:before="70" w:after="50"/>
            </w:pPr>
            <w:r w:rsidRPr="00934136">
              <w:t>Face-to-face or intensive assistance (funded community services)</w:t>
            </w:r>
          </w:p>
        </w:tc>
      </w:tr>
      <w:tr w:rsidR="005D12F7" w:rsidRPr="00934136" w14:paraId="6A2DF149" w14:textId="77777777" w:rsidTr="005D12F7">
        <w:trPr>
          <w:trHeight w:val="283"/>
        </w:trPr>
        <w:tc>
          <w:tcPr>
            <w:tcW w:w="6009" w:type="dxa"/>
          </w:tcPr>
          <w:p w14:paraId="3E86C54F" w14:textId="62C6FE54" w:rsidR="005D12F7" w:rsidRPr="00934136" w:rsidRDefault="005D12F7" w:rsidP="00EB6E61">
            <w:pPr>
              <w:pStyle w:val="TableText"/>
              <w:spacing w:before="70" w:after="50"/>
            </w:pPr>
            <w:r w:rsidRPr="00934136">
              <w:t xml:space="preserve">Victorians assisted under the Consumer Assistance </w:t>
            </w:r>
            <w:r w:rsidRPr="00934136">
              <w:br/>
              <w:t>and Advocacy Program</w:t>
            </w:r>
          </w:p>
        </w:tc>
        <w:tc>
          <w:tcPr>
            <w:tcW w:w="1021" w:type="dxa"/>
          </w:tcPr>
          <w:p w14:paraId="534C46B5" w14:textId="65BCA85A" w:rsidR="005D12F7" w:rsidRPr="00934136" w:rsidRDefault="005D12F7" w:rsidP="00EB6E61">
            <w:pPr>
              <w:pStyle w:val="TableTextRight"/>
              <w:spacing w:before="70" w:after="50"/>
            </w:pPr>
            <w:r w:rsidRPr="00934136">
              <w:t>349</w:t>
            </w:r>
          </w:p>
        </w:tc>
        <w:tc>
          <w:tcPr>
            <w:tcW w:w="1021" w:type="dxa"/>
          </w:tcPr>
          <w:p w14:paraId="304173E2" w14:textId="11938041" w:rsidR="005D12F7" w:rsidRPr="00934136" w:rsidRDefault="005D12F7" w:rsidP="00EB6E61">
            <w:pPr>
              <w:pStyle w:val="TableTextRight"/>
              <w:spacing w:before="70" w:after="50"/>
            </w:pPr>
            <w:r w:rsidRPr="00934136">
              <w:t>270</w:t>
            </w:r>
          </w:p>
        </w:tc>
        <w:tc>
          <w:tcPr>
            <w:tcW w:w="1021" w:type="dxa"/>
          </w:tcPr>
          <w:p w14:paraId="5A076EAE" w14:textId="62AC053E" w:rsidR="005D12F7" w:rsidRPr="00934136" w:rsidRDefault="005D12F7" w:rsidP="00EB6E61">
            <w:pPr>
              <w:pStyle w:val="TableTextRight"/>
              <w:spacing w:before="70" w:after="50"/>
            </w:pPr>
            <w:r w:rsidRPr="00934136">
              <w:t>241</w:t>
            </w:r>
          </w:p>
        </w:tc>
      </w:tr>
      <w:tr w:rsidR="005D12F7" w:rsidRPr="00934136" w14:paraId="2696C64E" w14:textId="77777777" w:rsidTr="005D12F7">
        <w:trPr>
          <w:trHeight w:val="283"/>
        </w:trPr>
        <w:tc>
          <w:tcPr>
            <w:tcW w:w="6009" w:type="dxa"/>
          </w:tcPr>
          <w:p w14:paraId="7F8E62D2" w14:textId="2BFB5402" w:rsidR="005D12F7" w:rsidRPr="00934136" w:rsidRDefault="005D12F7" w:rsidP="00EB6E61">
            <w:pPr>
              <w:pStyle w:val="TableText"/>
              <w:spacing w:before="70" w:after="50"/>
            </w:pPr>
            <w:r w:rsidRPr="00934136">
              <w:t>Clients assisted with financial counselling</w:t>
            </w:r>
          </w:p>
        </w:tc>
        <w:tc>
          <w:tcPr>
            <w:tcW w:w="1021" w:type="dxa"/>
          </w:tcPr>
          <w:p w14:paraId="1472024F" w14:textId="72F91785" w:rsidR="005D12F7" w:rsidRPr="00934136" w:rsidRDefault="005D12F7" w:rsidP="00EB6E61">
            <w:pPr>
              <w:pStyle w:val="TableTextRight"/>
              <w:spacing w:before="70" w:after="50"/>
            </w:pPr>
            <w:r w:rsidRPr="00934136">
              <w:t>21,223</w:t>
            </w:r>
          </w:p>
        </w:tc>
        <w:tc>
          <w:tcPr>
            <w:tcW w:w="1021" w:type="dxa"/>
          </w:tcPr>
          <w:p w14:paraId="74CF5974" w14:textId="2A1C718E" w:rsidR="005D12F7" w:rsidRPr="00934136" w:rsidRDefault="005D12F7" w:rsidP="00EB6E61">
            <w:pPr>
              <w:pStyle w:val="TableTextRight"/>
              <w:spacing w:before="70" w:after="50"/>
            </w:pPr>
            <w:r w:rsidRPr="00934136">
              <w:t>22,794</w:t>
            </w:r>
          </w:p>
        </w:tc>
        <w:tc>
          <w:tcPr>
            <w:tcW w:w="1021" w:type="dxa"/>
          </w:tcPr>
          <w:p w14:paraId="51A79F4A" w14:textId="61203756" w:rsidR="005D12F7" w:rsidRPr="00934136" w:rsidRDefault="005D12F7" w:rsidP="00EB6E61">
            <w:pPr>
              <w:pStyle w:val="TableTextRight"/>
              <w:spacing w:before="70" w:after="50"/>
            </w:pPr>
            <w:r w:rsidRPr="00934136">
              <w:t>23,192</w:t>
            </w:r>
          </w:p>
        </w:tc>
      </w:tr>
    </w:tbl>
    <w:p w14:paraId="547B4BFE" w14:textId="3C274CF4" w:rsidR="005D12F7" w:rsidRPr="00934136" w:rsidRDefault="005D12F7" w:rsidP="005D12F7">
      <w:pPr>
        <w:pStyle w:val="Heading4"/>
      </w:pPr>
      <w:r w:rsidRPr="00934136">
        <w:t>Table: Information, advice and service delivery to renters, rental providers and agents</w:t>
      </w:r>
    </w:p>
    <w:tbl>
      <w:tblPr>
        <w:tblStyle w:val="TableGrid"/>
        <w:tblW w:w="9072" w:type="dxa"/>
        <w:tblLayout w:type="fixed"/>
        <w:tblLook w:val="06A0" w:firstRow="1" w:lastRow="0" w:firstColumn="1" w:lastColumn="0" w:noHBand="1" w:noVBand="1"/>
      </w:tblPr>
      <w:tblGrid>
        <w:gridCol w:w="4989"/>
        <w:gridCol w:w="1361"/>
        <w:gridCol w:w="1361"/>
        <w:gridCol w:w="1361"/>
      </w:tblGrid>
      <w:tr w:rsidR="005D12F7" w:rsidRPr="00934136" w14:paraId="60C07D58" w14:textId="77777777" w:rsidTr="005D12F7">
        <w:trPr>
          <w:cnfStyle w:val="100000000000" w:firstRow="1" w:lastRow="0" w:firstColumn="0" w:lastColumn="0" w:oddVBand="0" w:evenVBand="0" w:oddHBand="0" w:evenHBand="0" w:firstRowFirstColumn="0" w:firstRowLastColumn="0" w:lastRowFirstColumn="0" w:lastRowLastColumn="0"/>
          <w:trHeight w:val="283"/>
          <w:tblHeader/>
        </w:trPr>
        <w:tc>
          <w:tcPr>
            <w:tcW w:w="4989" w:type="dxa"/>
          </w:tcPr>
          <w:p w14:paraId="7CB4BC63" w14:textId="77777777" w:rsidR="005D12F7" w:rsidRPr="00934136" w:rsidRDefault="005D12F7" w:rsidP="00EB6E61">
            <w:pPr>
              <w:pStyle w:val="TableColHead"/>
              <w:spacing w:before="70" w:after="50"/>
            </w:pPr>
          </w:p>
        </w:tc>
        <w:tc>
          <w:tcPr>
            <w:tcW w:w="1361" w:type="dxa"/>
          </w:tcPr>
          <w:p w14:paraId="3CAC1248" w14:textId="26A9B7D8" w:rsidR="005D12F7" w:rsidRPr="00934136" w:rsidRDefault="005D12F7" w:rsidP="00EB6E61">
            <w:pPr>
              <w:pStyle w:val="TableColHeadRight"/>
              <w:spacing w:before="70" w:after="50"/>
            </w:pPr>
            <w:r w:rsidRPr="00934136">
              <w:t>2021–22</w:t>
            </w:r>
          </w:p>
        </w:tc>
        <w:tc>
          <w:tcPr>
            <w:tcW w:w="1361" w:type="dxa"/>
          </w:tcPr>
          <w:p w14:paraId="304638C9" w14:textId="5F65C410" w:rsidR="005D12F7" w:rsidRPr="00934136" w:rsidRDefault="005D12F7" w:rsidP="00EB6E61">
            <w:pPr>
              <w:pStyle w:val="TableColHeadRight"/>
              <w:spacing w:before="70" w:after="50"/>
            </w:pPr>
            <w:r w:rsidRPr="00934136">
              <w:t>2022–23</w:t>
            </w:r>
          </w:p>
        </w:tc>
        <w:tc>
          <w:tcPr>
            <w:tcW w:w="1361" w:type="dxa"/>
          </w:tcPr>
          <w:p w14:paraId="10FD4EB0" w14:textId="78A753B3" w:rsidR="005D12F7" w:rsidRPr="00934136" w:rsidRDefault="005D12F7" w:rsidP="00EB6E61">
            <w:pPr>
              <w:pStyle w:val="TableColHeadRight"/>
              <w:spacing w:before="70" w:after="50"/>
            </w:pPr>
            <w:r w:rsidRPr="00934136">
              <w:t>2023–24</w:t>
            </w:r>
          </w:p>
        </w:tc>
      </w:tr>
      <w:tr w:rsidR="005D12F7" w:rsidRPr="00934136" w14:paraId="27FA9A05" w14:textId="77777777" w:rsidTr="005D12F7">
        <w:trPr>
          <w:trHeight w:val="283"/>
        </w:trPr>
        <w:tc>
          <w:tcPr>
            <w:tcW w:w="9072" w:type="dxa"/>
            <w:gridSpan w:val="4"/>
            <w:shd w:val="clear" w:color="auto" w:fill="BCCAE5"/>
          </w:tcPr>
          <w:p w14:paraId="539576C7" w14:textId="7E249A14" w:rsidR="005D12F7" w:rsidRPr="00934136" w:rsidRDefault="005D12F7" w:rsidP="00EB6E61">
            <w:pPr>
              <w:pStyle w:val="TableTextBold"/>
              <w:spacing w:before="70" w:after="50"/>
            </w:pPr>
            <w:r w:rsidRPr="00934136">
              <w:t>Information and advice</w:t>
            </w:r>
          </w:p>
        </w:tc>
      </w:tr>
      <w:tr w:rsidR="005D12F7" w:rsidRPr="00934136" w14:paraId="578A36A5" w14:textId="77777777" w:rsidTr="005D12F7">
        <w:trPr>
          <w:trHeight w:val="283"/>
        </w:trPr>
        <w:tc>
          <w:tcPr>
            <w:tcW w:w="4989" w:type="dxa"/>
          </w:tcPr>
          <w:p w14:paraId="53F3709B" w14:textId="2FD20CF5" w:rsidR="005D12F7" w:rsidRPr="00934136" w:rsidRDefault="005D12F7" w:rsidP="00EB6E61">
            <w:pPr>
              <w:pStyle w:val="TableText"/>
              <w:spacing w:before="70" w:after="50"/>
            </w:pPr>
            <w:r w:rsidRPr="00934136">
              <w:t>Website page views – renting section</w:t>
            </w:r>
          </w:p>
        </w:tc>
        <w:tc>
          <w:tcPr>
            <w:tcW w:w="1361" w:type="dxa"/>
          </w:tcPr>
          <w:p w14:paraId="3D33CC64" w14:textId="6829B52A" w:rsidR="005D12F7" w:rsidRPr="00934136" w:rsidRDefault="005D12F7" w:rsidP="00EB6E61">
            <w:pPr>
              <w:pStyle w:val="TableTextRight"/>
              <w:spacing w:before="70" w:after="50"/>
            </w:pPr>
            <w:r w:rsidRPr="00934136">
              <w:t>3,544,425</w:t>
            </w:r>
          </w:p>
        </w:tc>
        <w:tc>
          <w:tcPr>
            <w:tcW w:w="1361" w:type="dxa"/>
          </w:tcPr>
          <w:p w14:paraId="0734E941" w14:textId="6876FC8B" w:rsidR="005D12F7" w:rsidRPr="00934136" w:rsidRDefault="005D12F7" w:rsidP="00EB6E61">
            <w:pPr>
              <w:pStyle w:val="TableTextRight"/>
              <w:spacing w:before="70" w:after="50"/>
            </w:pPr>
            <w:r w:rsidRPr="00934136">
              <w:t>4,261,483</w:t>
            </w:r>
          </w:p>
        </w:tc>
        <w:tc>
          <w:tcPr>
            <w:tcW w:w="1361" w:type="dxa"/>
          </w:tcPr>
          <w:p w14:paraId="13E51CB0" w14:textId="5C4211A1" w:rsidR="005D12F7" w:rsidRPr="00934136" w:rsidRDefault="005D12F7" w:rsidP="00EB6E61">
            <w:pPr>
              <w:pStyle w:val="TableTextRight"/>
              <w:spacing w:before="70" w:after="50"/>
            </w:pPr>
            <w:r w:rsidRPr="00934136">
              <w:t>4,983,695</w:t>
            </w:r>
          </w:p>
        </w:tc>
      </w:tr>
      <w:tr w:rsidR="005D12F7" w:rsidRPr="00934136" w14:paraId="5C39EE15" w14:textId="77777777" w:rsidTr="005D12F7">
        <w:trPr>
          <w:trHeight w:val="283"/>
        </w:trPr>
        <w:tc>
          <w:tcPr>
            <w:tcW w:w="4989" w:type="dxa"/>
          </w:tcPr>
          <w:p w14:paraId="6C5F464F" w14:textId="5E43A2D1" w:rsidR="005D12F7" w:rsidRPr="00934136" w:rsidRDefault="005D12F7" w:rsidP="00EB6E61">
            <w:pPr>
              <w:pStyle w:val="TableText"/>
              <w:spacing w:before="70" w:after="50"/>
            </w:pPr>
            <w:r w:rsidRPr="00934136">
              <w:t>Calls answered – residential tenancies</w:t>
            </w:r>
          </w:p>
        </w:tc>
        <w:tc>
          <w:tcPr>
            <w:tcW w:w="1361" w:type="dxa"/>
          </w:tcPr>
          <w:p w14:paraId="1E1933E5" w14:textId="5CF7CC13" w:rsidR="005D12F7" w:rsidRPr="00934136" w:rsidRDefault="005D12F7" w:rsidP="00EB6E61">
            <w:pPr>
              <w:pStyle w:val="TableTextRight"/>
              <w:spacing w:before="70" w:after="50"/>
            </w:pPr>
            <w:r w:rsidRPr="00934136">
              <w:t>70,633</w:t>
            </w:r>
          </w:p>
        </w:tc>
        <w:tc>
          <w:tcPr>
            <w:tcW w:w="1361" w:type="dxa"/>
          </w:tcPr>
          <w:p w14:paraId="47E8A0F2" w14:textId="6A2ECCC7" w:rsidR="005D12F7" w:rsidRPr="00934136" w:rsidRDefault="005D12F7" w:rsidP="00EB6E61">
            <w:pPr>
              <w:pStyle w:val="TableTextRight"/>
              <w:spacing w:before="70" w:after="50"/>
            </w:pPr>
            <w:r w:rsidRPr="00934136">
              <w:t>63,200</w:t>
            </w:r>
          </w:p>
        </w:tc>
        <w:tc>
          <w:tcPr>
            <w:tcW w:w="1361" w:type="dxa"/>
          </w:tcPr>
          <w:p w14:paraId="42734C11" w14:textId="7103F489" w:rsidR="005D12F7" w:rsidRPr="00934136" w:rsidRDefault="005D12F7" w:rsidP="00EB6E61">
            <w:pPr>
              <w:pStyle w:val="TableTextRight"/>
              <w:spacing w:before="70" w:after="50"/>
            </w:pPr>
            <w:r w:rsidRPr="00934136">
              <w:t>66,231</w:t>
            </w:r>
          </w:p>
        </w:tc>
      </w:tr>
      <w:tr w:rsidR="005D12F7" w:rsidRPr="00934136" w14:paraId="01013D99" w14:textId="77777777" w:rsidTr="005D12F7">
        <w:trPr>
          <w:trHeight w:val="283"/>
        </w:trPr>
        <w:tc>
          <w:tcPr>
            <w:tcW w:w="4989" w:type="dxa"/>
          </w:tcPr>
          <w:p w14:paraId="356F8787" w14:textId="20C32292" w:rsidR="005D12F7" w:rsidRPr="00934136" w:rsidRDefault="005D12F7" w:rsidP="00EB6E61">
            <w:pPr>
              <w:pStyle w:val="TableText"/>
              <w:spacing w:before="70" w:after="50"/>
            </w:pPr>
            <w:r w:rsidRPr="00934136">
              <w:t>Calls answered – RTBA</w:t>
            </w:r>
          </w:p>
        </w:tc>
        <w:tc>
          <w:tcPr>
            <w:tcW w:w="1361" w:type="dxa"/>
          </w:tcPr>
          <w:p w14:paraId="12AF0F1A" w14:textId="450E350A" w:rsidR="005D12F7" w:rsidRPr="00934136" w:rsidRDefault="005D12F7" w:rsidP="00EB6E61">
            <w:pPr>
              <w:pStyle w:val="TableTextRight"/>
              <w:spacing w:before="70" w:after="50"/>
            </w:pPr>
            <w:r w:rsidRPr="00934136">
              <w:t>56,128</w:t>
            </w:r>
          </w:p>
        </w:tc>
        <w:tc>
          <w:tcPr>
            <w:tcW w:w="1361" w:type="dxa"/>
          </w:tcPr>
          <w:p w14:paraId="60E30FBE" w14:textId="52B6CFE7" w:rsidR="005D12F7" w:rsidRPr="00934136" w:rsidRDefault="005D12F7" w:rsidP="00EB6E61">
            <w:pPr>
              <w:pStyle w:val="TableTextRight"/>
              <w:spacing w:before="70" w:after="50"/>
            </w:pPr>
            <w:r w:rsidRPr="00934136">
              <w:t>44,574</w:t>
            </w:r>
          </w:p>
        </w:tc>
        <w:tc>
          <w:tcPr>
            <w:tcW w:w="1361" w:type="dxa"/>
          </w:tcPr>
          <w:p w14:paraId="01DFC7D1" w14:textId="60176A07" w:rsidR="005D12F7" w:rsidRPr="00934136" w:rsidRDefault="005D12F7" w:rsidP="00EB6E61">
            <w:pPr>
              <w:pStyle w:val="TableTextRight"/>
              <w:spacing w:before="70" w:after="50"/>
            </w:pPr>
            <w:r w:rsidRPr="00934136">
              <w:t>52,048</w:t>
            </w:r>
          </w:p>
        </w:tc>
      </w:tr>
      <w:tr w:rsidR="005D12F7" w:rsidRPr="00934136" w14:paraId="1809E12A" w14:textId="77777777" w:rsidTr="005D12F7">
        <w:trPr>
          <w:trHeight w:val="283"/>
        </w:trPr>
        <w:tc>
          <w:tcPr>
            <w:tcW w:w="9072" w:type="dxa"/>
            <w:gridSpan w:val="4"/>
            <w:shd w:val="clear" w:color="auto" w:fill="BCCAE5"/>
          </w:tcPr>
          <w:p w14:paraId="041440E2" w14:textId="77777777" w:rsidR="005D12F7" w:rsidRPr="00934136" w:rsidRDefault="005D12F7" w:rsidP="00EB6E61">
            <w:pPr>
              <w:pStyle w:val="TableTextBold"/>
              <w:spacing w:before="70" w:after="50"/>
            </w:pPr>
            <w:r w:rsidRPr="00934136">
              <w:t>Face-to-face or intensive assistance</w:t>
            </w:r>
          </w:p>
        </w:tc>
      </w:tr>
      <w:tr w:rsidR="005D12F7" w:rsidRPr="00934136" w14:paraId="4FE66756" w14:textId="77777777" w:rsidTr="005D12F7">
        <w:trPr>
          <w:trHeight w:val="283"/>
        </w:trPr>
        <w:tc>
          <w:tcPr>
            <w:tcW w:w="9072" w:type="dxa"/>
            <w:gridSpan w:val="4"/>
            <w:shd w:val="clear" w:color="auto" w:fill="D3DBEE"/>
          </w:tcPr>
          <w:p w14:paraId="4E0FD18A" w14:textId="77777777" w:rsidR="005D12F7" w:rsidRPr="00934136" w:rsidRDefault="005D12F7" w:rsidP="00EB6E61">
            <w:pPr>
              <w:pStyle w:val="TableTextBold"/>
              <w:spacing w:before="70" w:after="50"/>
            </w:pPr>
            <w:r w:rsidRPr="00934136">
              <w:t>Funded community services</w:t>
            </w:r>
          </w:p>
        </w:tc>
      </w:tr>
      <w:tr w:rsidR="005D12F7" w:rsidRPr="00934136" w14:paraId="552D4A4B" w14:textId="77777777" w:rsidTr="005D12F7">
        <w:trPr>
          <w:trHeight w:val="283"/>
        </w:trPr>
        <w:tc>
          <w:tcPr>
            <w:tcW w:w="4989" w:type="dxa"/>
          </w:tcPr>
          <w:p w14:paraId="55171DAA" w14:textId="5B4C8BA6" w:rsidR="005D12F7" w:rsidRPr="00934136" w:rsidRDefault="005D12F7" w:rsidP="00EB6E61">
            <w:pPr>
              <w:pStyle w:val="TableText"/>
              <w:spacing w:before="70" w:after="50"/>
            </w:pPr>
            <w:r w:rsidRPr="00934136">
              <w:t xml:space="preserve">Tenants under the Tenancy Assistance </w:t>
            </w:r>
            <w:r w:rsidRPr="00934136">
              <w:br/>
              <w:t>and Advocacy Program</w:t>
            </w:r>
          </w:p>
        </w:tc>
        <w:tc>
          <w:tcPr>
            <w:tcW w:w="1361" w:type="dxa"/>
          </w:tcPr>
          <w:p w14:paraId="72D9F146" w14:textId="232F9AE8" w:rsidR="005D12F7" w:rsidRPr="00934136" w:rsidRDefault="005D12F7" w:rsidP="00EB6E61">
            <w:pPr>
              <w:pStyle w:val="TableTextRight"/>
              <w:spacing w:before="70" w:after="50"/>
            </w:pPr>
            <w:r w:rsidRPr="00934136">
              <w:t>7,339</w:t>
            </w:r>
          </w:p>
        </w:tc>
        <w:tc>
          <w:tcPr>
            <w:tcW w:w="1361" w:type="dxa"/>
          </w:tcPr>
          <w:p w14:paraId="2E0A0790" w14:textId="320A2A50" w:rsidR="005D12F7" w:rsidRPr="00934136" w:rsidRDefault="005D12F7" w:rsidP="00EB6E61">
            <w:pPr>
              <w:pStyle w:val="TableTextRight"/>
              <w:spacing w:before="70" w:after="50"/>
            </w:pPr>
            <w:r w:rsidRPr="00934136">
              <w:t>8,410</w:t>
            </w:r>
          </w:p>
        </w:tc>
        <w:tc>
          <w:tcPr>
            <w:tcW w:w="1361" w:type="dxa"/>
          </w:tcPr>
          <w:p w14:paraId="51D0DFFA" w14:textId="43B6EA6F" w:rsidR="005D12F7" w:rsidRPr="00934136" w:rsidRDefault="005D12F7" w:rsidP="00EB6E61">
            <w:pPr>
              <w:pStyle w:val="TableTextRight"/>
              <w:spacing w:before="70" w:after="50"/>
            </w:pPr>
            <w:r w:rsidRPr="00934136">
              <w:t>8,625</w:t>
            </w:r>
          </w:p>
        </w:tc>
      </w:tr>
      <w:tr w:rsidR="005D12F7" w:rsidRPr="00934136" w14:paraId="0CE44D3C" w14:textId="77777777" w:rsidTr="005D12F7">
        <w:trPr>
          <w:trHeight w:val="283"/>
        </w:trPr>
        <w:tc>
          <w:tcPr>
            <w:tcW w:w="9072" w:type="dxa"/>
            <w:gridSpan w:val="4"/>
            <w:shd w:val="clear" w:color="auto" w:fill="D3DBEE"/>
          </w:tcPr>
          <w:p w14:paraId="4587FC3B" w14:textId="77777777" w:rsidR="005D12F7" w:rsidRPr="00934136" w:rsidRDefault="005D12F7" w:rsidP="00EB6E61">
            <w:pPr>
              <w:pStyle w:val="TableTextBold"/>
              <w:spacing w:before="70" w:after="50"/>
            </w:pPr>
            <w:r w:rsidRPr="00934136">
              <w:t>Residential tenancy inspection advice provided</w:t>
            </w:r>
          </w:p>
        </w:tc>
      </w:tr>
      <w:tr w:rsidR="005D12F7" w:rsidRPr="00934136" w14:paraId="1251C1E2" w14:textId="77777777" w:rsidTr="005D12F7">
        <w:trPr>
          <w:trHeight w:val="283"/>
        </w:trPr>
        <w:tc>
          <w:tcPr>
            <w:tcW w:w="4989" w:type="dxa"/>
          </w:tcPr>
          <w:p w14:paraId="2D73BC8E" w14:textId="57BA20D1" w:rsidR="005D12F7" w:rsidRPr="00934136" w:rsidRDefault="00C969DE" w:rsidP="00EB6E61">
            <w:pPr>
              <w:pStyle w:val="TableText"/>
              <w:spacing w:before="70" w:after="50"/>
            </w:pPr>
            <w:r w:rsidRPr="00C969DE">
              <w:t>Non-urgent repairs applications</w:t>
            </w:r>
          </w:p>
        </w:tc>
        <w:tc>
          <w:tcPr>
            <w:tcW w:w="1361" w:type="dxa"/>
          </w:tcPr>
          <w:p w14:paraId="4C15718C" w14:textId="1F3C60D3" w:rsidR="005D12F7" w:rsidRPr="00934136" w:rsidRDefault="005D12F7" w:rsidP="00EB6E61">
            <w:pPr>
              <w:pStyle w:val="TableTextRight"/>
              <w:spacing w:before="70" w:after="50"/>
            </w:pPr>
            <w:r w:rsidRPr="00934136">
              <w:t>704</w:t>
            </w:r>
          </w:p>
        </w:tc>
        <w:tc>
          <w:tcPr>
            <w:tcW w:w="1361" w:type="dxa"/>
          </w:tcPr>
          <w:p w14:paraId="6DB1D927" w14:textId="4A4DEEC0" w:rsidR="005D12F7" w:rsidRPr="00934136" w:rsidRDefault="005D12F7" w:rsidP="00EB6E61">
            <w:pPr>
              <w:pStyle w:val="TableTextRight"/>
              <w:spacing w:before="70" w:after="50"/>
            </w:pPr>
            <w:r w:rsidRPr="00934136">
              <w:t>560</w:t>
            </w:r>
          </w:p>
        </w:tc>
        <w:tc>
          <w:tcPr>
            <w:tcW w:w="1361" w:type="dxa"/>
          </w:tcPr>
          <w:p w14:paraId="5AE4B071" w14:textId="1A90DEB5" w:rsidR="005D12F7" w:rsidRPr="00934136" w:rsidRDefault="005D12F7" w:rsidP="00EB6E61">
            <w:pPr>
              <w:pStyle w:val="TableTextRight"/>
              <w:spacing w:before="70" w:after="50"/>
            </w:pPr>
            <w:r w:rsidRPr="00934136">
              <w:t>576</w:t>
            </w:r>
          </w:p>
        </w:tc>
      </w:tr>
      <w:tr w:rsidR="005D12F7" w:rsidRPr="00934136" w14:paraId="55B2ECDB" w14:textId="77777777" w:rsidTr="005D12F7">
        <w:trPr>
          <w:trHeight w:val="283"/>
        </w:trPr>
        <w:tc>
          <w:tcPr>
            <w:tcW w:w="4989" w:type="dxa"/>
          </w:tcPr>
          <w:p w14:paraId="6587C4FB" w14:textId="250B8F8A" w:rsidR="005D12F7" w:rsidRPr="00934136" w:rsidRDefault="00C969DE" w:rsidP="00EB6E61">
            <w:pPr>
              <w:pStyle w:val="TableText"/>
              <w:spacing w:before="70" w:after="50"/>
            </w:pPr>
            <w:r w:rsidRPr="00C969DE">
              <w:t>Excessive rent applications</w:t>
            </w:r>
          </w:p>
        </w:tc>
        <w:tc>
          <w:tcPr>
            <w:tcW w:w="1361" w:type="dxa"/>
          </w:tcPr>
          <w:p w14:paraId="249CAEC5" w14:textId="2505E9BD" w:rsidR="005D12F7" w:rsidRPr="00934136" w:rsidRDefault="005D12F7" w:rsidP="00EB6E61">
            <w:pPr>
              <w:pStyle w:val="TableTextRight"/>
              <w:spacing w:before="70" w:after="50"/>
            </w:pPr>
            <w:r w:rsidRPr="00934136">
              <w:t>2,452</w:t>
            </w:r>
          </w:p>
        </w:tc>
        <w:tc>
          <w:tcPr>
            <w:tcW w:w="1361" w:type="dxa"/>
          </w:tcPr>
          <w:p w14:paraId="29E99063" w14:textId="55C84C69" w:rsidR="005D12F7" w:rsidRPr="00934136" w:rsidRDefault="005D12F7" w:rsidP="00EB6E61">
            <w:pPr>
              <w:pStyle w:val="TableTextRight"/>
              <w:spacing w:before="70" w:after="50"/>
            </w:pPr>
            <w:r w:rsidRPr="00934136">
              <w:t>5,448</w:t>
            </w:r>
          </w:p>
        </w:tc>
        <w:tc>
          <w:tcPr>
            <w:tcW w:w="1361" w:type="dxa"/>
          </w:tcPr>
          <w:p w14:paraId="0054F11F" w14:textId="240EFFD2" w:rsidR="005D12F7" w:rsidRPr="00934136" w:rsidRDefault="005D12F7" w:rsidP="00EB6E61">
            <w:pPr>
              <w:pStyle w:val="TableTextRight"/>
              <w:spacing w:before="70" w:after="50"/>
            </w:pPr>
            <w:r w:rsidRPr="00934136">
              <w:t>7,469</w:t>
            </w:r>
          </w:p>
        </w:tc>
      </w:tr>
    </w:tbl>
    <w:p w14:paraId="0EFE21BB" w14:textId="77777777" w:rsidR="005D12F7" w:rsidRPr="00934136" w:rsidRDefault="005D12F7" w:rsidP="005D12F7">
      <w:pPr>
        <w:pStyle w:val="Heading3"/>
      </w:pPr>
      <w:bookmarkStart w:id="9" w:name="_Toc181015735"/>
      <w:r w:rsidRPr="00934136">
        <w:lastRenderedPageBreak/>
        <w:t>Businesses and rental providers do the right thing</w:t>
      </w:r>
      <w:bookmarkEnd w:id="9"/>
    </w:p>
    <w:p w14:paraId="4660AAB8" w14:textId="77777777" w:rsidR="005D12F7" w:rsidRPr="00934136" w:rsidRDefault="005D12F7" w:rsidP="005D12F7">
      <w:pPr>
        <w:pStyle w:val="Heading4"/>
      </w:pPr>
      <w:r w:rsidRPr="00934136">
        <w:t>Regulatory priorities</w:t>
      </w:r>
    </w:p>
    <w:p w14:paraId="05823FFF" w14:textId="77777777" w:rsidR="005D12F7" w:rsidRPr="00934136" w:rsidRDefault="005D12F7" w:rsidP="005D12F7">
      <w:pPr>
        <w:pStyle w:val="BodyText"/>
      </w:pPr>
      <w:r w:rsidRPr="00934136">
        <w:t>In 2023–24, we published new regulatory priorities across four key areas, including fairness and safety in competitive consumer markets, robust professional standards and a fair and safe rental market. Priorities included product safety, in particular products that are unsafe for children, estate agent underquoting, illegal trust account action, and renting minimum standards, all of which are discussed further below.</w:t>
      </w:r>
    </w:p>
    <w:p w14:paraId="70DDC35E" w14:textId="00B17500" w:rsidR="005D12F7" w:rsidRPr="00934136" w:rsidRDefault="005D12F7" w:rsidP="005D12F7">
      <w:pPr>
        <w:pStyle w:val="BodyText"/>
      </w:pPr>
      <w:r w:rsidRPr="00934136">
        <w:t>CAV also undertook a range of actions under our other regulatory priorities in 2023–24. For example, we continued to deliver our Rooming House Minimum Standards compliance project, aimed at making rooming houses – often the last housing resort for some of the most vulnerable Victorians – safer and</w:t>
      </w:r>
      <w:r w:rsidR="006157B7">
        <w:t> </w:t>
      </w:r>
      <w:r w:rsidRPr="00934136">
        <w:t xml:space="preserve">more comfortable. We conducted 296 inspections in 2023–24 to ensure rooming houses comply with mandatory safety and amenity standards for residents and issued </w:t>
      </w:r>
      <w:r w:rsidR="0019153A">
        <w:t>178</w:t>
      </w:r>
      <w:r w:rsidRPr="00934136">
        <w:t xml:space="preserve"> official warnings and 2</w:t>
      </w:r>
      <w:r w:rsidR="006157B7">
        <w:t> </w:t>
      </w:r>
      <w:r w:rsidRPr="00934136">
        <w:t>infringements to secure rectification and compliance. 989 gas and electrical safety certificates were also lodged using our online myCAV licensing portal this year, making it easier and faster for rooming house operators to meet this core safety requirement.</w:t>
      </w:r>
    </w:p>
    <w:p w14:paraId="069CF406" w14:textId="77777777" w:rsidR="005D12F7" w:rsidRPr="00934136" w:rsidRDefault="005D12F7" w:rsidP="005D12F7">
      <w:pPr>
        <w:pStyle w:val="BodyText"/>
      </w:pPr>
      <w:r w:rsidRPr="00934136">
        <w:t>During the year we also established and led a national motor car trading working group with our Commonwealth, state and territory Australian Consumer Law counterpart regulators. The first actions of the working group involved collecting data from jurisdictions to inform a broader market study, explore common issues and identify opportunities to collaborate on regulatory interventions.</w:t>
      </w:r>
    </w:p>
    <w:p w14:paraId="4E4A3BDB" w14:textId="77777777" w:rsidR="005D12F7" w:rsidRPr="00934136" w:rsidRDefault="005D12F7" w:rsidP="005D12F7">
      <w:pPr>
        <w:pStyle w:val="Heading4"/>
      </w:pPr>
      <w:r w:rsidRPr="00934136">
        <w:t>Product safety regulation</w:t>
      </w:r>
    </w:p>
    <w:p w14:paraId="10E72ACF" w14:textId="2B45742D" w:rsidR="005D12F7" w:rsidRPr="00934136" w:rsidRDefault="005D12F7" w:rsidP="005D12F7">
      <w:pPr>
        <w:pStyle w:val="BodyText"/>
      </w:pPr>
      <w:r w:rsidRPr="00934136">
        <w:t>Victorians have a right to expect that household products they buy meet required safety standards. CAV works closely with the Australian Competition and Consumer Commission and other jurisdictions to administer the national product safety provisions of the Australian Consumer Law in Victoria. This</w:t>
      </w:r>
      <w:r w:rsidR="006157B7">
        <w:t> </w:t>
      </w:r>
      <w:r w:rsidRPr="00934136">
        <w:t>includes enforcing product bans, safety and information standards and facilitating recalls where</w:t>
      </w:r>
      <w:r w:rsidR="006157B7">
        <w:t> </w:t>
      </w:r>
      <w:r w:rsidRPr="00934136">
        <w:t>necessary.</w:t>
      </w:r>
    </w:p>
    <w:p w14:paraId="0F621068" w14:textId="77777777" w:rsidR="005D12F7" w:rsidRPr="00934136" w:rsidRDefault="005D12F7" w:rsidP="005D12F7">
      <w:pPr>
        <w:pStyle w:val="BodyText"/>
      </w:pPr>
      <w:r w:rsidRPr="00934136">
        <w:t>The CAV website provides up to date information on safety standards and includes a dedicated section on safety in the home. CAV helps the public to report unsafe products via its website and submit urgent complaints about products that have or could cause serious injury via our phone hotline.</w:t>
      </w:r>
    </w:p>
    <w:p w14:paraId="401C2B04" w14:textId="5E0D4F05" w:rsidR="005D12F7" w:rsidRPr="00934136" w:rsidRDefault="005D12F7" w:rsidP="005D12F7">
      <w:pPr>
        <w:pStyle w:val="BodyText"/>
      </w:pPr>
      <w:r w:rsidRPr="00934136">
        <w:t>In 2023–24, CAV inspectors played a critical role in keeping the community safe, inspecting 425</w:t>
      </w:r>
      <w:r w:rsidR="00D473C9" w:rsidRPr="00934136">
        <w:t> </w:t>
      </w:r>
      <w:r w:rsidRPr="00934136">
        <w:t>stores across Victoria, issuing 8 infringements and 131 official warnings, and receiving 65</w:t>
      </w:r>
      <w:r w:rsidR="00D473C9" w:rsidRPr="00934136">
        <w:t> </w:t>
      </w:r>
      <w:r w:rsidRPr="00934136">
        <w:t>voluntary undertakings to remove dangerous products from sale.</w:t>
      </w:r>
    </w:p>
    <w:p w14:paraId="13AB0C00" w14:textId="77777777" w:rsidR="005D12F7" w:rsidRPr="00934136" w:rsidRDefault="005D12F7" w:rsidP="005D12F7">
      <w:pPr>
        <w:pStyle w:val="BodyText"/>
      </w:pPr>
      <w:r w:rsidRPr="00934136">
        <w:t>Many of the unsafe products uncovered by CAV inspectors during the year involved button batteries. Button batteries can be found in a variety of household products and pose serious risks to young children because they can cause terrible injuries and even death if swallowed. Mandatory Australian safety and information standards have applied to products containing button batteries since mid-2022 and should now be well understood by suppliers and retailers. We will continue to focus on the risks posed by non-compliant products in the coming year.</w:t>
      </w:r>
    </w:p>
    <w:p w14:paraId="23F823C9" w14:textId="5B45E6C0" w:rsidR="005D12F7" w:rsidRPr="00934136" w:rsidRDefault="005D12F7" w:rsidP="005D12F7">
      <w:pPr>
        <w:pStyle w:val="BodyText"/>
      </w:pPr>
      <w:r w:rsidRPr="00934136">
        <w:t>In 2023–24, CAV also sent 2,264 free curtain and blind cord safety kits to Victorian residents. The</w:t>
      </w:r>
      <w:r w:rsidR="00D473C9" w:rsidRPr="00934136">
        <w:t> </w:t>
      </w:r>
      <w:r w:rsidRPr="00934136">
        <w:t>kits</w:t>
      </w:r>
      <w:r w:rsidR="00D473C9" w:rsidRPr="00934136">
        <w:t> </w:t>
      </w:r>
      <w:r w:rsidRPr="00934136">
        <w:t>help make looped curtain and blind cords safer for children.</w:t>
      </w:r>
    </w:p>
    <w:p w14:paraId="018189F3" w14:textId="77777777" w:rsidR="005D12F7" w:rsidRPr="00934136" w:rsidRDefault="005D12F7" w:rsidP="005D12F7">
      <w:pPr>
        <w:pStyle w:val="Heading4"/>
      </w:pPr>
      <w:r w:rsidRPr="00934136">
        <w:lastRenderedPageBreak/>
        <w:t>Underquoting Taskforce</w:t>
      </w:r>
    </w:p>
    <w:p w14:paraId="6195DE08" w14:textId="106D3C63" w:rsidR="005D12F7" w:rsidRPr="00934136" w:rsidRDefault="005D12F7" w:rsidP="005D12F7">
      <w:pPr>
        <w:pStyle w:val="BodyText"/>
      </w:pPr>
      <w:r w:rsidRPr="00934136">
        <w:t>Underquoting is an unfair practice where a property is advertised for less than its realistic sale price. It</w:t>
      </w:r>
      <w:r w:rsidR="00D473C9" w:rsidRPr="00934136">
        <w:t> </w:t>
      </w:r>
      <w:r w:rsidRPr="00934136">
        <w:t>causes potential buyers to waste time and money and distorts the market. In September 2022, the government announced $3.8 million in funding over two years for a dedicated taskforce to target underquoting. The taskforce is embedded within CAV and builds on CAV’s work ensuring estate agents provide accurate pricing information to Victorians.</w:t>
      </w:r>
    </w:p>
    <w:p w14:paraId="4D73BFEF" w14:textId="25C6CB7C" w:rsidR="005D12F7" w:rsidRPr="00934136" w:rsidRDefault="005D12F7" w:rsidP="005D12F7">
      <w:pPr>
        <w:pStyle w:val="BodyText"/>
      </w:pPr>
      <w:r w:rsidRPr="00934136">
        <w:t xml:space="preserve">CAV takes a ‘zero tolerance’ approach to underquoting, which means all instances of suspected </w:t>
      </w:r>
      <w:r w:rsidR="007F620E" w:rsidRPr="00934136">
        <w:br/>
      </w:r>
      <w:r w:rsidRPr="00934136">
        <w:t>non-compliance result in a regulatory response. In 2023–24, the Underquoting Taskforce monitored 1,547 sales campaigns, and issued 89 infringements and 128 official warnings, totalling $1,001,720 in</w:t>
      </w:r>
      <w:r w:rsidR="007F620E" w:rsidRPr="00934136">
        <w:t> </w:t>
      </w:r>
      <w:r w:rsidRPr="00934136">
        <w:t>fines. These activities help to dissuade underquoting and other unfair practices in Victoria’s property market, so Victorians have fairer and easier access to purchasing property.</w:t>
      </w:r>
    </w:p>
    <w:p w14:paraId="6C970FC2" w14:textId="77777777" w:rsidR="005D12F7" w:rsidRPr="00934136" w:rsidRDefault="005D12F7" w:rsidP="005D12F7">
      <w:pPr>
        <w:pStyle w:val="BodyText"/>
      </w:pPr>
      <w:r w:rsidRPr="00934136">
        <w:t>CAV ran a two-pronged communications campaign to ensure the industry and public are aware of their rights and obligations and support the activities of the taskforce. In addition to organic social media through our own channels, CAV ran a paid advertising campaign from August to November 2023. The campaign aimed to spread awareness within the Victorian community of the illegality of underquoting and CAV’s commitment to combat the practice. Victorians were also advised that they could report instance of underquoting through CAV’s online portal. The ads were seen over 7 million times, with 4,908 clicks through to the campaign page.</w:t>
      </w:r>
    </w:p>
    <w:p w14:paraId="7A4480CE" w14:textId="77050A28" w:rsidR="005D12F7" w:rsidRPr="00934136" w:rsidRDefault="005D12F7" w:rsidP="005D12F7">
      <w:pPr>
        <w:pStyle w:val="BodyText"/>
      </w:pPr>
      <w:r w:rsidRPr="00934136">
        <w:t>In March 2024, CAV launched new criminal court proceedings against a Melbourne estate agency for alleged underquoting breaches of failing to provide a reasonable estimated selling price. The charges include that the agency claimed it could not find comparable properties for an Ivanhoe townhouse. The</w:t>
      </w:r>
      <w:r w:rsidR="00984EE2" w:rsidRPr="00934136">
        <w:t> </w:t>
      </w:r>
      <w:r w:rsidRPr="00934136">
        <w:t>court proceedings will continue into the 2024–25 year and other investigations remain ongoing.</w:t>
      </w:r>
    </w:p>
    <w:p w14:paraId="310E5E71" w14:textId="77777777" w:rsidR="005D12F7" w:rsidRPr="00934136" w:rsidRDefault="005D12F7" w:rsidP="005D12F7">
      <w:pPr>
        <w:pStyle w:val="BodyText"/>
      </w:pPr>
      <w:r w:rsidRPr="00934136">
        <w:t>In August 2024, the government announced the taskforce would be made permanent to allow CAV’s work to stamp out underquoting to continue.</w:t>
      </w:r>
    </w:p>
    <w:p w14:paraId="0F49D56B" w14:textId="77777777" w:rsidR="005D12F7" w:rsidRPr="00934136" w:rsidRDefault="005D12F7" w:rsidP="00984EE2">
      <w:pPr>
        <w:pStyle w:val="Caption"/>
      </w:pPr>
      <w:r w:rsidRPr="00934136">
        <w:t>Table: Underquoting taskforce activity</w:t>
      </w:r>
    </w:p>
    <w:tbl>
      <w:tblPr>
        <w:tblStyle w:val="TableGrid"/>
        <w:tblW w:w="9072" w:type="dxa"/>
        <w:tblLayout w:type="fixed"/>
        <w:tblLook w:val="06A0" w:firstRow="1" w:lastRow="0" w:firstColumn="1" w:lastColumn="0" w:noHBand="1" w:noVBand="1"/>
      </w:tblPr>
      <w:tblGrid>
        <w:gridCol w:w="7711"/>
        <w:gridCol w:w="1361"/>
      </w:tblGrid>
      <w:tr w:rsidR="005D12F7" w:rsidRPr="00934136" w14:paraId="19D2811E" w14:textId="77777777" w:rsidTr="00984EE2">
        <w:trPr>
          <w:cnfStyle w:val="100000000000" w:firstRow="1" w:lastRow="0" w:firstColumn="0" w:lastColumn="0" w:oddVBand="0" w:evenVBand="0" w:oddHBand="0" w:evenHBand="0" w:firstRowFirstColumn="0" w:firstRowLastColumn="0" w:lastRowFirstColumn="0" w:lastRowLastColumn="0"/>
          <w:trHeight w:val="60"/>
          <w:tblHeader/>
        </w:trPr>
        <w:tc>
          <w:tcPr>
            <w:tcW w:w="7711" w:type="dxa"/>
          </w:tcPr>
          <w:p w14:paraId="1E8D1E79" w14:textId="77777777" w:rsidR="005D12F7" w:rsidRPr="00934136" w:rsidRDefault="005D12F7" w:rsidP="00984EE2">
            <w:pPr>
              <w:pStyle w:val="TableColHead"/>
            </w:pPr>
            <w:r w:rsidRPr="00934136">
              <w:t>Activity</w:t>
            </w:r>
          </w:p>
        </w:tc>
        <w:tc>
          <w:tcPr>
            <w:tcW w:w="1361" w:type="dxa"/>
          </w:tcPr>
          <w:p w14:paraId="26D6CF11" w14:textId="77777777" w:rsidR="005D12F7" w:rsidRPr="00934136" w:rsidRDefault="005D12F7" w:rsidP="00984EE2">
            <w:pPr>
              <w:pStyle w:val="TableColHeadRight"/>
            </w:pPr>
            <w:r w:rsidRPr="00934136">
              <w:t>2023–24</w:t>
            </w:r>
          </w:p>
        </w:tc>
      </w:tr>
      <w:tr w:rsidR="005D12F7" w:rsidRPr="00934136" w14:paraId="11096800" w14:textId="77777777" w:rsidTr="00984EE2">
        <w:trPr>
          <w:trHeight w:val="60"/>
        </w:trPr>
        <w:tc>
          <w:tcPr>
            <w:tcW w:w="7711" w:type="dxa"/>
          </w:tcPr>
          <w:p w14:paraId="3BB00961" w14:textId="77777777" w:rsidR="005D12F7" w:rsidRPr="00934136" w:rsidRDefault="005D12F7" w:rsidP="00984EE2">
            <w:pPr>
              <w:pStyle w:val="TableText"/>
            </w:pPr>
            <w:r w:rsidRPr="00934136">
              <w:t>Unique complaints submitted via webform</w:t>
            </w:r>
          </w:p>
        </w:tc>
        <w:tc>
          <w:tcPr>
            <w:tcW w:w="1361" w:type="dxa"/>
          </w:tcPr>
          <w:p w14:paraId="6B64B1E4" w14:textId="77777777" w:rsidR="005D12F7" w:rsidRPr="00934136" w:rsidRDefault="005D12F7" w:rsidP="00984EE2">
            <w:pPr>
              <w:pStyle w:val="TableTextRight"/>
            </w:pPr>
            <w:r w:rsidRPr="00934136">
              <w:t>1,848</w:t>
            </w:r>
          </w:p>
        </w:tc>
      </w:tr>
      <w:tr w:rsidR="005D12F7" w:rsidRPr="00934136" w14:paraId="0C363242" w14:textId="77777777" w:rsidTr="00984EE2">
        <w:trPr>
          <w:trHeight w:val="60"/>
        </w:trPr>
        <w:tc>
          <w:tcPr>
            <w:tcW w:w="7711" w:type="dxa"/>
          </w:tcPr>
          <w:p w14:paraId="30E77854" w14:textId="77777777" w:rsidR="005D12F7" w:rsidRPr="00934136" w:rsidRDefault="005D12F7" w:rsidP="00984EE2">
            <w:pPr>
              <w:pStyle w:val="TableText"/>
            </w:pPr>
            <w:r w:rsidRPr="00934136">
              <w:t>Sales campaigns monitored</w:t>
            </w:r>
          </w:p>
        </w:tc>
        <w:tc>
          <w:tcPr>
            <w:tcW w:w="1361" w:type="dxa"/>
          </w:tcPr>
          <w:p w14:paraId="3B000E6D" w14:textId="77777777" w:rsidR="005D12F7" w:rsidRPr="00934136" w:rsidRDefault="005D12F7" w:rsidP="00984EE2">
            <w:pPr>
              <w:pStyle w:val="TableTextRight"/>
            </w:pPr>
            <w:r w:rsidRPr="00934136">
              <w:t>1,547</w:t>
            </w:r>
          </w:p>
        </w:tc>
      </w:tr>
      <w:tr w:rsidR="005D12F7" w:rsidRPr="00934136" w14:paraId="287BE2E2" w14:textId="77777777" w:rsidTr="00984EE2">
        <w:trPr>
          <w:trHeight w:val="60"/>
        </w:trPr>
        <w:tc>
          <w:tcPr>
            <w:tcW w:w="7711" w:type="dxa"/>
          </w:tcPr>
          <w:p w14:paraId="1632CC78" w14:textId="77777777" w:rsidR="005D12F7" w:rsidRPr="00934136" w:rsidRDefault="005D12F7" w:rsidP="00984EE2">
            <w:pPr>
              <w:pStyle w:val="TableText"/>
            </w:pPr>
            <w:r w:rsidRPr="00934136">
              <w:t>Auctions attended</w:t>
            </w:r>
          </w:p>
        </w:tc>
        <w:tc>
          <w:tcPr>
            <w:tcW w:w="1361" w:type="dxa"/>
          </w:tcPr>
          <w:p w14:paraId="35DADDCD" w14:textId="77777777" w:rsidR="005D12F7" w:rsidRPr="00934136" w:rsidRDefault="005D12F7" w:rsidP="00984EE2">
            <w:pPr>
              <w:pStyle w:val="TableTextRight"/>
            </w:pPr>
            <w:r w:rsidRPr="00934136">
              <w:t>147</w:t>
            </w:r>
          </w:p>
        </w:tc>
      </w:tr>
      <w:tr w:rsidR="005D12F7" w:rsidRPr="00934136" w14:paraId="33FAA8A5" w14:textId="77777777" w:rsidTr="00984EE2">
        <w:trPr>
          <w:trHeight w:val="60"/>
        </w:trPr>
        <w:tc>
          <w:tcPr>
            <w:tcW w:w="7711" w:type="dxa"/>
          </w:tcPr>
          <w:p w14:paraId="33BBB0AC" w14:textId="77777777" w:rsidR="005D12F7" w:rsidRPr="00934136" w:rsidRDefault="005D12F7" w:rsidP="00984EE2">
            <w:pPr>
              <w:pStyle w:val="TableText"/>
            </w:pPr>
            <w:r w:rsidRPr="00934136">
              <w:t>Infringement notices issued</w:t>
            </w:r>
          </w:p>
        </w:tc>
        <w:tc>
          <w:tcPr>
            <w:tcW w:w="1361" w:type="dxa"/>
          </w:tcPr>
          <w:p w14:paraId="427595A5" w14:textId="77777777" w:rsidR="005D12F7" w:rsidRPr="00934136" w:rsidRDefault="005D12F7" w:rsidP="00984EE2">
            <w:pPr>
              <w:pStyle w:val="TableTextRight"/>
            </w:pPr>
            <w:r w:rsidRPr="00934136">
              <w:t>89</w:t>
            </w:r>
          </w:p>
        </w:tc>
      </w:tr>
      <w:tr w:rsidR="005D12F7" w:rsidRPr="00934136" w14:paraId="01DC42AA" w14:textId="77777777" w:rsidTr="00984EE2">
        <w:trPr>
          <w:trHeight w:val="60"/>
        </w:trPr>
        <w:tc>
          <w:tcPr>
            <w:tcW w:w="7711" w:type="dxa"/>
          </w:tcPr>
          <w:p w14:paraId="32248348" w14:textId="77777777" w:rsidR="005D12F7" w:rsidRPr="00934136" w:rsidRDefault="005D12F7" w:rsidP="00984EE2">
            <w:pPr>
              <w:pStyle w:val="TableText"/>
            </w:pPr>
            <w:r w:rsidRPr="00934136">
              <w:t>Fines issued ($)</w:t>
            </w:r>
          </w:p>
        </w:tc>
        <w:tc>
          <w:tcPr>
            <w:tcW w:w="1361" w:type="dxa"/>
          </w:tcPr>
          <w:p w14:paraId="3DCD239E" w14:textId="77777777" w:rsidR="005D12F7" w:rsidRPr="00934136" w:rsidRDefault="005D12F7" w:rsidP="00984EE2">
            <w:pPr>
              <w:pStyle w:val="TableTextRight"/>
            </w:pPr>
            <w:r w:rsidRPr="00934136">
              <w:t>1,001,720</w:t>
            </w:r>
          </w:p>
        </w:tc>
      </w:tr>
      <w:tr w:rsidR="005D12F7" w:rsidRPr="00934136" w14:paraId="5AF7ADD5" w14:textId="77777777" w:rsidTr="00984EE2">
        <w:trPr>
          <w:trHeight w:val="60"/>
        </w:trPr>
        <w:tc>
          <w:tcPr>
            <w:tcW w:w="7711" w:type="dxa"/>
          </w:tcPr>
          <w:p w14:paraId="79F61433" w14:textId="77777777" w:rsidR="005D12F7" w:rsidRPr="00934136" w:rsidRDefault="005D12F7" w:rsidP="00984EE2">
            <w:pPr>
              <w:pStyle w:val="TableText"/>
            </w:pPr>
            <w:r w:rsidRPr="00934136">
              <w:t>Official warnings in lieu of infringement</w:t>
            </w:r>
          </w:p>
        </w:tc>
        <w:tc>
          <w:tcPr>
            <w:tcW w:w="1361" w:type="dxa"/>
          </w:tcPr>
          <w:p w14:paraId="7071DB51" w14:textId="77777777" w:rsidR="005D12F7" w:rsidRPr="00934136" w:rsidRDefault="005D12F7" w:rsidP="00984EE2">
            <w:pPr>
              <w:pStyle w:val="TableTextRight"/>
            </w:pPr>
            <w:r w:rsidRPr="00934136">
              <w:t>128</w:t>
            </w:r>
          </w:p>
        </w:tc>
      </w:tr>
    </w:tbl>
    <w:p w14:paraId="6AD4A482" w14:textId="77777777" w:rsidR="005D12F7" w:rsidRPr="00934136" w:rsidRDefault="005D12F7" w:rsidP="005D12F7">
      <w:pPr>
        <w:pStyle w:val="Heading4"/>
      </w:pPr>
      <w:r w:rsidRPr="00934136">
        <w:t>Trust account auditing</w:t>
      </w:r>
    </w:p>
    <w:p w14:paraId="7AB81126" w14:textId="24F71A3C" w:rsidR="005D12F7" w:rsidRPr="00934136" w:rsidRDefault="005D12F7" w:rsidP="005D12F7">
      <w:pPr>
        <w:pStyle w:val="BodyText"/>
      </w:pPr>
      <w:r w:rsidRPr="00934136">
        <w:t>Trust accounts serve to safeguard consumers who make payments (such as rent, deposits, or fees) to</w:t>
      </w:r>
      <w:r w:rsidR="006157B7">
        <w:t> </w:t>
      </w:r>
      <w:r w:rsidRPr="00934136">
        <w:t>real estate agents and conveyancers. By law, estate agents and conveyancers must deposit any client funds they receive in advance into a trust account for safekeeping. Failure to comply with this requirement results in significant penalties.</w:t>
      </w:r>
    </w:p>
    <w:p w14:paraId="0276DDD0" w14:textId="05C1771B" w:rsidR="005D12F7" w:rsidRPr="00934136" w:rsidRDefault="005D12F7" w:rsidP="005D12F7">
      <w:pPr>
        <w:pStyle w:val="BodyText"/>
      </w:pPr>
      <w:r w:rsidRPr="00934136">
        <w:t xml:space="preserve">Annual audits of estate agent and conveyancer trust accounts are essential to guarantee that trust funds are not misused or stolen. Estate agents and conveyancers must submit an annual trust </w:t>
      </w:r>
      <w:r w:rsidRPr="00934136">
        <w:lastRenderedPageBreak/>
        <w:t>account audit if they held trust funds during the financial year. Our commitment to zero tolerance for</w:t>
      </w:r>
      <w:r w:rsidR="006157B7">
        <w:t> </w:t>
      </w:r>
      <w:r w:rsidRPr="00934136">
        <w:t>non-compliance underscores the seriousness of these obligations.</w:t>
      </w:r>
    </w:p>
    <w:p w14:paraId="2528238B" w14:textId="77777777" w:rsidR="005D12F7" w:rsidRPr="00934136" w:rsidRDefault="005D12F7" w:rsidP="005D12F7">
      <w:pPr>
        <w:pStyle w:val="BodyText"/>
      </w:pPr>
      <w:r w:rsidRPr="00934136">
        <w:t>As at 30June 2024 in Victoria, 4,041 out of 6,266 estate agency businesses operate 6,106 statutory trust accounts. Additionally, 346 out of 733 conveyancing businesses maintain 348 statutory trust accounts recorded with CAV. While most agents and conveyancers do the right thing, since 2021, we’ve implemented a compliance program to address any failures in trust account reporting. We issued 65 infringements to estate agents and 18 to conveyancers for failing to meet their 2023–24 trust account audit requirements.</w:t>
      </w:r>
    </w:p>
    <w:p w14:paraId="0FE86112" w14:textId="77777777" w:rsidR="005D12F7" w:rsidRPr="00934136" w:rsidRDefault="005D12F7" w:rsidP="005D12F7">
      <w:pPr>
        <w:pStyle w:val="BodyText"/>
      </w:pPr>
      <w:r w:rsidRPr="00934136">
        <w:t>We also launched four new disciplinary proceedings against estate agents for trust account auditing failures in 2023–24. We take disciplinary proceedings at VCAT where there has been a concerning pattern of repeated or deliberate non-compliance. Agents risk suspension or cancellation of their licence as a result of disciplinary proceedings.</w:t>
      </w:r>
    </w:p>
    <w:p w14:paraId="60E0A449" w14:textId="77777777" w:rsidR="005D12F7" w:rsidRPr="00934136" w:rsidRDefault="005D12F7" w:rsidP="005D12F7">
      <w:pPr>
        <w:pStyle w:val="Heading4"/>
      </w:pPr>
      <w:r w:rsidRPr="00934136">
        <w:t>Renting Taskforce</w:t>
      </w:r>
    </w:p>
    <w:p w14:paraId="250B7FEE" w14:textId="77777777" w:rsidR="005D12F7" w:rsidRPr="00934136" w:rsidRDefault="005D12F7" w:rsidP="005D12F7">
      <w:pPr>
        <w:pStyle w:val="BodyText"/>
      </w:pPr>
      <w:r w:rsidRPr="00934136">
        <w:t xml:space="preserve">While the </w:t>
      </w:r>
      <w:r w:rsidRPr="00934136">
        <w:rPr>
          <w:rStyle w:val="Emphasis"/>
        </w:rPr>
        <w:t>Residential Tenancies Act 1997</w:t>
      </w:r>
      <w:r w:rsidRPr="00934136">
        <w:t xml:space="preserve"> largely regulates the private rights and obligations of renters and rental providers, rental law reforms have increasingly introduced conduct obligations for rental providers and estate agents. As the state regulator, CAV can enforce any breaches of these laws, which can attract criminal penalties.</w:t>
      </w:r>
    </w:p>
    <w:p w14:paraId="45378728" w14:textId="0C90F37E" w:rsidR="005D12F7" w:rsidRPr="00934136" w:rsidRDefault="005D12F7" w:rsidP="005D12F7">
      <w:pPr>
        <w:pStyle w:val="BodyText"/>
      </w:pPr>
      <w:r w:rsidRPr="00934136">
        <w:t>In March 2024, the government announced it was establishing a new renting taskforce, backed by a</w:t>
      </w:r>
      <w:r w:rsidR="006157B7">
        <w:t> </w:t>
      </w:r>
      <w:r w:rsidRPr="00934136">
        <w:t>$4 million investment, to detect and deter non-compliance and send a clear message that rental offences will not be tolerated.</w:t>
      </w:r>
    </w:p>
    <w:p w14:paraId="7E48DE1F" w14:textId="77777777" w:rsidR="005D12F7" w:rsidRPr="00934136" w:rsidRDefault="005D12F7" w:rsidP="005D12F7">
      <w:pPr>
        <w:pStyle w:val="BodyText"/>
      </w:pPr>
      <w:r w:rsidRPr="00934136">
        <w:t>The dedicated taskforce is embedded within CAV and includes additional contact handlers, intelligence analysts, regional inspectors, investigators and lawyers. Based on the successful underquoting taskforce approach, the renting taskforce will use a risk-based, intelligence-led compliance program to monitor the hundreds of thousands of rental properties in Victoria and thousands of individual rental providers.</w:t>
      </w:r>
    </w:p>
    <w:p w14:paraId="4C7E4E3C" w14:textId="77777777" w:rsidR="005D12F7" w:rsidRPr="00934136" w:rsidRDefault="005D12F7" w:rsidP="005D12F7">
      <w:pPr>
        <w:pStyle w:val="BodyText"/>
      </w:pPr>
      <w:r w:rsidRPr="00934136">
        <w:t>The taskforce analyses and identifies the most significant risks in the rental market and undertakes targeted monitoring of rental advertisements. The taskforce will be present at open-for-inspections and provide a zero-tolerance approach to key offences affecting the safety, security and tenure for renters. These include renting out a property that doesn’t meet the minimum standards, false advertising, illegal notices to vacate, failure to provide a condition report, non-lodgement of the bond and rental bidding.</w:t>
      </w:r>
    </w:p>
    <w:p w14:paraId="248C411F" w14:textId="77777777" w:rsidR="005D12F7" w:rsidRPr="00934136" w:rsidRDefault="005D12F7" w:rsidP="005D12F7">
      <w:pPr>
        <w:pStyle w:val="BodyText"/>
      </w:pPr>
      <w:r w:rsidRPr="00934136">
        <w:t>The taskforce is also engaging with the community to promote compliance through public education and communications about rental rights and regulatory actions. In June 2024, CAV launched a new online complaint form that makes it quick and easy for the public to report issues with properties being put up for rent and upload evidence such as images and documents. The taskforce will continue to scale up operations throughout 2024–25.</w:t>
      </w:r>
    </w:p>
    <w:p w14:paraId="33AAF643" w14:textId="77777777" w:rsidR="005D12F7" w:rsidRPr="00934136" w:rsidRDefault="005D12F7" w:rsidP="005D12F7">
      <w:pPr>
        <w:pStyle w:val="Heading4"/>
      </w:pPr>
      <w:r w:rsidRPr="00934136">
        <w:t>Professional Engineers Registration Scheme</w:t>
      </w:r>
    </w:p>
    <w:p w14:paraId="40B6446D" w14:textId="77777777" w:rsidR="005D12F7" w:rsidRPr="00934136" w:rsidRDefault="005D12F7" w:rsidP="005D12F7">
      <w:pPr>
        <w:pStyle w:val="BodyText"/>
      </w:pPr>
      <w:r w:rsidRPr="00934136">
        <w:t xml:space="preserve">The </w:t>
      </w:r>
      <w:r w:rsidRPr="00934136">
        <w:rPr>
          <w:rStyle w:val="Emphasis"/>
        </w:rPr>
        <w:t xml:space="preserve">Professional Engineers Registration Act 2019 requires </w:t>
      </w:r>
      <w:r w:rsidRPr="00934136">
        <w:t>engineers in five nominated areas to be registered to deliver professional engineering services. This is an important part of the government’s commitment to give Victorians confidence that only suitably qualified and experienced engineers who meet Australian and international standards can provide these services.</w:t>
      </w:r>
    </w:p>
    <w:p w14:paraId="2B6BEC81" w14:textId="53CC55F5" w:rsidR="005D12F7" w:rsidRPr="00934136" w:rsidRDefault="005D12F7" w:rsidP="005D12F7">
      <w:pPr>
        <w:pStyle w:val="BodyText"/>
      </w:pPr>
      <w:r w:rsidRPr="00934136">
        <w:lastRenderedPageBreak/>
        <w:t>Under the Act, registration is now mandatory for fire safety, civil, structural, electrical and, since 1</w:t>
      </w:r>
      <w:r w:rsidR="006157B7">
        <w:t> </w:t>
      </w:r>
      <w:r w:rsidRPr="00934136">
        <w:t>December 2023, mechanical engineers. Professional engineers must meet qualifications and experience or competency requirements to be registered, and also meet continuing professional development requirements every three years.</w:t>
      </w:r>
    </w:p>
    <w:p w14:paraId="665CE1B5" w14:textId="77777777" w:rsidR="005D12F7" w:rsidRPr="00934136" w:rsidRDefault="005D12F7" w:rsidP="005D12F7">
      <w:pPr>
        <w:pStyle w:val="BodyText"/>
      </w:pPr>
      <w:r w:rsidRPr="00934136">
        <w:t>The scheme is a co-regulatory model involving engineering associations operating approved assessment schemes, with</w:t>
      </w:r>
    </w:p>
    <w:p w14:paraId="144BDC96" w14:textId="77777777" w:rsidR="005D12F7" w:rsidRPr="00934136" w:rsidRDefault="005D12F7" w:rsidP="005D12F7">
      <w:pPr>
        <w:pStyle w:val="ListBullet"/>
      </w:pPr>
      <w:r w:rsidRPr="00934136">
        <w:t>the VBA advising on applicants’ suitability to work in the building industry</w:t>
      </w:r>
    </w:p>
    <w:p w14:paraId="3D5A1553" w14:textId="77777777" w:rsidR="005D12F7" w:rsidRPr="00934136" w:rsidRDefault="005D12F7" w:rsidP="005D12F7">
      <w:pPr>
        <w:pStyle w:val="ListBullet"/>
      </w:pPr>
      <w:r w:rsidRPr="00934136">
        <w:t>the Business Licensing Authority conducting probity checks and granting registrations; and</w:t>
      </w:r>
    </w:p>
    <w:p w14:paraId="43F0D8C9" w14:textId="77777777" w:rsidR="005D12F7" w:rsidRPr="00934136" w:rsidRDefault="005D12F7" w:rsidP="005D12F7">
      <w:pPr>
        <w:pStyle w:val="ListBullet"/>
      </w:pPr>
      <w:r w:rsidRPr="00934136">
        <w:t>CAV and the VBA monitoring compliance and enforcement.</w:t>
      </w:r>
    </w:p>
    <w:p w14:paraId="09B96360" w14:textId="77777777" w:rsidR="005D12F7" w:rsidRPr="00934136" w:rsidRDefault="005D12F7" w:rsidP="005D12F7">
      <w:pPr>
        <w:pStyle w:val="BodyText"/>
      </w:pPr>
      <w:r w:rsidRPr="00934136">
        <w:t>In 2023–24, a further 3,636 professional engineers were registered, bringing the total to 13,293 across the five areas of engineering as of 30 June 2024.</w:t>
      </w:r>
    </w:p>
    <w:p w14:paraId="282610E0" w14:textId="77777777" w:rsidR="005D12F7" w:rsidRPr="00934136" w:rsidRDefault="005D12F7" w:rsidP="005D12F7">
      <w:pPr>
        <w:pStyle w:val="BodyText"/>
      </w:pPr>
      <w:r w:rsidRPr="00934136">
        <w:t xml:space="preserve">A statutory review of the </w:t>
      </w:r>
      <w:r w:rsidRPr="00934136">
        <w:rPr>
          <w:rStyle w:val="Emphasis"/>
        </w:rPr>
        <w:t>Professional Engineers Registration Act 2019</w:t>
      </w:r>
      <w:r w:rsidRPr="00934136">
        <w:t xml:space="preserve"> will commence in 2024–25, based on advice from the co-regulatory bodies administering the scheme, as well as input from industry stakeholders.</w:t>
      </w:r>
    </w:p>
    <w:p w14:paraId="5762214A" w14:textId="77777777" w:rsidR="005D12F7" w:rsidRPr="00934136" w:rsidRDefault="005D12F7" w:rsidP="005D12F7">
      <w:pPr>
        <w:pStyle w:val="Heading4"/>
      </w:pPr>
      <w:r w:rsidRPr="00934136">
        <w:t>Enforcement actions</w:t>
      </w:r>
    </w:p>
    <w:p w14:paraId="6AA3EB66" w14:textId="77777777" w:rsidR="005D12F7" w:rsidRPr="00934136" w:rsidRDefault="005D12F7" w:rsidP="005D12F7">
      <w:pPr>
        <w:pStyle w:val="BodyText"/>
      </w:pPr>
      <w:r w:rsidRPr="00934136">
        <w:t>Enforcement actions play an important role in CAV’s objective to ensure businesses comply with consumer laws. In 2023–24, we finalised seven criminal prosecutions and disciplinary proceedings. Several examples are detailed below.</w:t>
      </w:r>
    </w:p>
    <w:p w14:paraId="2D8A87E4" w14:textId="77777777" w:rsidR="005D12F7" w:rsidRPr="00934136" w:rsidRDefault="005D12F7" w:rsidP="005D12F7">
      <w:pPr>
        <w:pStyle w:val="BodyText"/>
      </w:pPr>
      <w:r w:rsidRPr="00934136">
        <w:t>Kamn Real Estate Pty Ltd was found guilty of three charges related to unlicensed trading between December 2020 and April 2021, trust account breaches, and failing to meet an inspector’s investigation requirements. The agency was convicted in the Melbourne Magistrates’ Court after CAV took legal action. The court imposed a $197,740 fine ordering the company to forfeit the commission or profit they made while trading unlicensed.</w:t>
      </w:r>
    </w:p>
    <w:p w14:paraId="368BF585" w14:textId="77777777" w:rsidR="005D12F7" w:rsidRPr="00934136" w:rsidRDefault="005D12F7" w:rsidP="005D12F7">
      <w:pPr>
        <w:pStyle w:val="BodyText"/>
      </w:pPr>
      <w:r w:rsidRPr="00934136">
        <w:t>Jean-Noel Alain Philippe Gillet, formerly of Agent 96 Real Estate, misappropriated nearly $75,000 of clients’ funds from his agency’s trust account between 2019 and 2020. The former estate agent was convicted and sentenced in the Melbourne Magistrates’ Court to a 12-month community corrections order, which includes a requirement to perform 200 hours of community service. He was also ordered to pay $74,613 in compensation to the Victorian Property Fund. The Fund had been used to compensate the clients financially impacted by Gillet’s actions.</w:t>
      </w:r>
    </w:p>
    <w:p w14:paraId="3256B1EE" w14:textId="5952D819" w:rsidR="005D12F7" w:rsidRPr="00934136" w:rsidRDefault="005D12F7" w:rsidP="005D12F7">
      <w:pPr>
        <w:pStyle w:val="BodyText"/>
      </w:pPr>
      <w:r w:rsidRPr="00934136">
        <w:t>Lawrence Paul Vella was the Officer in Effective Control of Prestige Property Agents when he misappropriated $105,915 of clients’ money from his company’s trust account, between April and June</w:t>
      </w:r>
      <w:r w:rsidR="00711FF9" w:rsidRPr="00934136">
        <w:t> </w:t>
      </w:r>
      <w:r w:rsidRPr="00934136">
        <w:t>2019. In June 2023, he was convicted at the Melbourne Magistrates’ Court after pleading guilty</w:t>
      </w:r>
      <w:r w:rsidR="00711FF9" w:rsidRPr="00934136">
        <w:t> </w:t>
      </w:r>
      <w:r w:rsidRPr="00934136">
        <w:t>to two charges under the Estate Agents Act. All money stolen from his clients was repaid. The</w:t>
      </w:r>
      <w:r w:rsidR="00711FF9" w:rsidRPr="00934136">
        <w:t> </w:t>
      </w:r>
      <w:r w:rsidRPr="00934136">
        <w:t>misappropriated funds were uncovered through the annual independent audit which is required under the Estate Agents Act.</w:t>
      </w:r>
    </w:p>
    <w:p w14:paraId="42F4BD4B" w14:textId="07CEBCBC" w:rsidR="005D12F7" w:rsidRPr="00934136" w:rsidRDefault="005D12F7" w:rsidP="005D12F7">
      <w:pPr>
        <w:pStyle w:val="BodyText"/>
      </w:pPr>
      <w:r w:rsidRPr="00934136">
        <w:t>Monica Smit and her organisation, Reignite Democracy Australia (RDA) were convicted in May 2024 on charges related to running an unregistered fundraiser to pay her legal bills. Monica Smit and RDA</w:t>
      </w:r>
      <w:r w:rsidR="00F532E2" w:rsidRPr="00934136">
        <w:t> </w:t>
      </w:r>
      <w:r w:rsidRPr="00934136">
        <w:t>were found guilty of failing to register the fundraiser and of failing to provide documents and information required under the fundraising laws regulated by CAV. We took legal action against Smit and RDA after they appealed for public donations to fund legal fees to fight separate police charges.</w:t>
      </w:r>
    </w:p>
    <w:p w14:paraId="420ECB2D" w14:textId="77777777" w:rsidR="005D12F7" w:rsidRPr="00934136" w:rsidRDefault="005D12F7" w:rsidP="005D12F7">
      <w:pPr>
        <w:pStyle w:val="BodyText"/>
      </w:pPr>
      <w:r w:rsidRPr="00934136">
        <w:lastRenderedPageBreak/>
        <w:t>CAV also initiated 14 new (civil and criminal) court or disciplinary proceedings in 2023–24 for alleged breaches of consumer laws. These included criminal charges filed against an unregistered builder for alleged breaches of the Australian Consumer Law and Domestic Building Contracts Act and against a business for alleged unlawful debt collection methods, as well as several new estate agency matters including the underquoting criminal case and disciplinary proceedings for poor conduct.</w:t>
      </w:r>
    </w:p>
    <w:p w14:paraId="7FFB09FC" w14:textId="610A6BFF" w:rsidR="005D12F7" w:rsidRPr="00934136" w:rsidRDefault="005D12F7" w:rsidP="005D12F7">
      <w:pPr>
        <w:pStyle w:val="Heading4"/>
      </w:pPr>
      <w:r w:rsidRPr="00934136">
        <w:t>Table: Enforcement actions (incl public warning notices)</w:t>
      </w:r>
    </w:p>
    <w:p w14:paraId="5CBB15A3" w14:textId="77777777" w:rsidR="005D12F7" w:rsidRPr="00934136" w:rsidRDefault="005D12F7" w:rsidP="005D12F7">
      <w:pPr>
        <w:pStyle w:val="Heading5"/>
      </w:pPr>
      <w:r w:rsidRPr="00934136">
        <w:t>Public warnings issued in 2023–24</w:t>
      </w:r>
    </w:p>
    <w:tbl>
      <w:tblPr>
        <w:tblStyle w:val="TableGrid"/>
        <w:tblW w:w="9072" w:type="dxa"/>
        <w:tblLayout w:type="fixed"/>
        <w:tblLook w:val="06A0" w:firstRow="1" w:lastRow="0" w:firstColumn="1" w:lastColumn="0" w:noHBand="1" w:noVBand="1"/>
      </w:tblPr>
      <w:tblGrid>
        <w:gridCol w:w="3686"/>
        <w:gridCol w:w="5386"/>
      </w:tblGrid>
      <w:tr w:rsidR="00F532E2" w:rsidRPr="00934136" w14:paraId="68C8DDF2" w14:textId="77777777" w:rsidTr="00F532E2">
        <w:trPr>
          <w:cnfStyle w:val="100000000000" w:firstRow="1" w:lastRow="0" w:firstColumn="0" w:lastColumn="0" w:oddVBand="0" w:evenVBand="0" w:oddHBand="0" w:evenHBand="0" w:firstRowFirstColumn="0" w:firstRowLastColumn="0" w:lastRowFirstColumn="0" w:lastRowLastColumn="0"/>
          <w:trHeight w:val="60"/>
          <w:tblHeader/>
        </w:trPr>
        <w:tc>
          <w:tcPr>
            <w:tcW w:w="3686" w:type="dxa"/>
          </w:tcPr>
          <w:p w14:paraId="3E41EF8E" w14:textId="0207F40E" w:rsidR="00F532E2" w:rsidRPr="00934136" w:rsidRDefault="00F532E2" w:rsidP="00F532E2">
            <w:pPr>
              <w:pStyle w:val="TableColHead"/>
            </w:pPr>
            <w:r w:rsidRPr="00934136">
              <w:t>Legislation</w:t>
            </w:r>
          </w:p>
        </w:tc>
        <w:tc>
          <w:tcPr>
            <w:tcW w:w="5386" w:type="dxa"/>
          </w:tcPr>
          <w:p w14:paraId="028FFC26" w14:textId="26AB64CA" w:rsidR="00F532E2" w:rsidRPr="00934136" w:rsidRDefault="00F532E2" w:rsidP="00F532E2">
            <w:pPr>
              <w:pStyle w:val="TableColHead"/>
            </w:pPr>
            <w:r w:rsidRPr="00934136">
              <w:t>Parties</w:t>
            </w:r>
          </w:p>
        </w:tc>
      </w:tr>
      <w:tr w:rsidR="00F532E2" w:rsidRPr="00934136" w14:paraId="4D7BD624" w14:textId="77777777" w:rsidTr="00F532E2">
        <w:trPr>
          <w:trHeight w:val="60"/>
        </w:trPr>
        <w:tc>
          <w:tcPr>
            <w:tcW w:w="3686" w:type="dxa"/>
          </w:tcPr>
          <w:p w14:paraId="7CF78A31" w14:textId="5D957A77" w:rsidR="00F532E2" w:rsidRPr="00934136" w:rsidRDefault="00F532E2" w:rsidP="00F532E2">
            <w:pPr>
              <w:pStyle w:val="TableText"/>
            </w:pPr>
            <w:r w:rsidRPr="00934136">
              <w:rPr>
                <w:rStyle w:val="Emphasis"/>
              </w:rPr>
              <w:t xml:space="preserve">Australian Consumer Law </w:t>
            </w:r>
            <w:r w:rsidRPr="00934136">
              <w:rPr>
                <w:rStyle w:val="Emphasis"/>
              </w:rPr>
              <w:br/>
              <w:t>and Fair Trading Act 2012</w:t>
            </w:r>
          </w:p>
        </w:tc>
        <w:tc>
          <w:tcPr>
            <w:tcW w:w="5386" w:type="dxa"/>
          </w:tcPr>
          <w:p w14:paraId="3F7D859E" w14:textId="32243E7E" w:rsidR="00F532E2" w:rsidRPr="00934136" w:rsidRDefault="00F532E2" w:rsidP="00F532E2">
            <w:pPr>
              <w:pStyle w:val="TableText"/>
            </w:pPr>
            <w:r w:rsidRPr="00934136">
              <w:t>Bobo&amp;boo Pty Ltd t/as bobo&amp;boo</w:t>
            </w:r>
          </w:p>
        </w:tc>
      </w:tr>
      <w:tr w:rsidR="00F532E2" w:rsidRPr="00934136" w14:paraId="5476571D" w14:textId="77777777" w:rsidTr="00F532E2">
        <w:trPr>
          <w:trHeight w:val="60"/>
        </w:trPr>
        <w:tc>
          <w:tcPr>
            <w:tcW w:w="3686" w:type="dxa"/>
          </w:tcPr>
          <w:p w14:paraId="22D2F175" w14:textId="34A78E1F" w:rsidR="00F532E2" w:rsidRPr="00934136" w:rsidRDefault="00F532E2" w:rsidP="00F532E2">
            <w:pPr>
              <w:pStyle w:val="TableText"/>
            </w:pPr>
            <w:r w:rsidRPr="00934136">
              <w:rPr>
                <w:rStyle w:val="Emphasis"/>
              </w:rPr>
              <w:t xml:space="preserve">Australian Consumer Law </w:t>
            </w:r>
            <w:r w:rsidRPr="00934136">
              <w:rPr>
                <w:rStyle w:val="Emphasis"/>
              </w:rPr>
              <w:br/>
              <w:t>and Fair Trading Act 2012</w:t>
            </w:r>
          </w:p>
        </w:tc>
        <w:tc>
          <w:tcPr>
            <w:tcW w:w="5386" w:type="dxa"/>
          </w:tcPr>
          <w:p w14:paraId="1185C8D5" w14:textId="0B9CCD3F" w:rsidR="00F532E2" w:rsidRPr="00934136" w:rsidRDefault="00F532E2" w:rsidP="00F532E2">
            <w:pPr>
              <w:pStyle w:val="TableText"/>
            </w:pPr>
            <w:r w:rsidRPr="00934136">
              <w:t>Hungry Jack’s</w:t>
            </w:r>
          </w:p>
        </w:tc>
      </w:tr>
      <w:tr w:rsidR="00F532E2" w:rsidRPr="00934136" w14:paraId="2B9BFB70" w14:textId="77777777" w:rsidTr="00F532E2">
        <w:trPr>
          <w:trHeight w:val="60"/>
        </w:trPr>
        <w:tc>
          <w:tcPr>
            <w:tcW w:w="3686" w:type="dxa"/>
          </w:tcPr>
          <w:p w14:paraId="755F3951" w14:textId="1B0414BB"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6126E13E" w14:textId="197AB20C" w:rsidR="00F532E2" w:rsidRPr="00934136" w:rsidRDefault="00F532E2" w:rsidP="00F532E2">
            <w:pPr>
              <w:pStyle w:val="TableText"/>
            </w:pPr>
            <w:r w:rsidRPr="00934136">
              <w:t>Smartware Pty Ltd t/as Mifo Australia</w:t>
            </w:r>
          </w:p>
        </w:tc>
      </w:tr>
      <w:tr w:rsidR="00F532E2" w:rsidRPr="00934136" w14:paraId="6B64D78B" w14:textId="77777777" w:rsidTr="00F532E2">
        <w:trPr>
          <w:trHeight w:val="60"/>
        </w:trPr>
        <w:tc>
          <w:tcPr>
            <w:tcW w:w="3686" w:type="dxa"/>
          </w:tcPr>
          <w:p w14:paraId="0FAD50FC" w14:textId="069BF8C5"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07087B0A" w14:textId="130D26C4" w:rsidR="00F532E2" w:rsidRPr="00934136" w:rsidRDefault="00F532E2" w:rsidP="00F532E2">
            <w:pPr>
              <w:pStyle w:val="TableText"/>
            </w:pPr>
            <w:r w:rsidRPr="00934136">
              <w:t>Anahata Global Pty Ltd t/as Ishka</w:t>
            </w:r>
          </w:p>
        </w:tc>
      </w:tr>
      <w:tr w:rsidR="00F532E2" w:rsidRPr="00934136" w14:paraId="4DCF4F52" w14:textId="77777777" w:rsidTr="00F532E2">
        <w:trPr>
          <w:trHeight w:val="60"/>
        </w:trPr>
        <w:tc>
          <w:tcPr>
            <w:tcW w:w="3686" w:type="dxa"/>
          </w:tcPr>
          <w:p w14:paraId="1BDA396E" w14:textId="28A33ED6"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1DD9F66C" w14:textId="7A94EDB7" w:rsidR="00F532E2" w:rsidRPr="00934136" w:rsidRDefault="00F532E2" w:rsidP="00F532E2">
            <w:pPr>
              <w:pStyle w:val="TableText"/>
            </w:pPr>
            <w:r w:rsidRPr="00934136">
              <w:t>Sam the Man Group Pty Ltd t/as Sam the Man</w:t>
            </w:r>
          </w:p>
        </w:tc>
      </w:tr>
      <w:tr w:rsidR="00F532E2" w:rsidRPr="00934136" w14:paraId="71597C40" w14:textId="77777777" w:rsidTr="00F532E2">
        <w:trPr>
          <w:trHeight w:val="60"/>
        </w:trPr>
        <w:tc>
          <w:tcPr>
            <w:tcW w:w="3686" w:type="dxa"/>
          </w:tcPr>
          <w:p w14:paraId="26EAC6B2" w14:textId="19AE6419"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17D56A3E" w14:textId="3E706E61" w:rsidR="00F532E2" w:rsidRPr="00934136" w:rsidRDefault="00F532E2" w:rsidP="00F532E2">
            <w:pPr>
              <w:pStyle w:val="TableText"/>
            </w:pPr>
            <w:r w:rsidRPr="00934136">
              <w:t>GL4EVER t/as Baby Direct</w:t>
            </w:r>
          </w:p>
        </w:tc>
      </w:tr>
      <w:tr w:rsidR="00F532E2" w:rsidRPr="00934136" w14:paraId="633E63AE" w14:textId="77777777" w:rsidTr="00F532E2">
        <w:trPr>
          <w:trHeight w:val="60"/>
        </w:trPr>
        <w:tc>
          <w:tcPr>
            <w:tcW w:w="3686" w:type="dxa"/>
          </w:tcPr>
          <w:p w14:paraId="54051176" w14:textId="5242CA14"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617BBE3F" w14:textId="7A476477" w:rsidR="00F532E2" w:rsidRPr="00934136" w:rsidRDefault="00F532E2" w:rsidP="00F532E2">
            <w:pPr>
              <w:pStyle w:val="TableText"/>
            </w:pPr>
            <w:r w:rsidRPr="00934136">
              <w:t>Force Industries t/as Find Sports</w:t>
            </w:r>
          </w:p>
        </w:tc>
      </w:tr>
      <w:tr w:rsidR="00F532E2" w:rsidRPr="00934136" w14:paraId="035E3C77" w14:textId="77777777" w:rsidTr="00F532E2">
        <w:trPr>
          <w:trHeight w:val="60"/>
        </w:trPr>
        <w:tc>
          <w:tcPr>
            <w:tcW w:w="3686" w:type="dxa"/>
          </w:tcPr>
          <w:p w14:paraId="792F62AE" w14:textId="674F478A"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29E9A4A6" w14:textId="4A224B38" w:rsidR="00F532E2" w:rsidRPr="00934136" w:rsidRDefault="00F532E2" w:rsidP="00F532E2">
            <w:pPr>
              <w:pStyle w:val="TableText"/>
            </w:pPr>
            <w:r w:rsidRPr="00934136">
              <w:t xml:space="preserve">Ultimate Kitchen Design Pty Ltd </w:t>
            </w:r>
            <w:r w:rsidR="00B8137B">
              <w:br/>
            </w:r>
            <w:r w:rsidRPr="00934136">
              <w:t xml:space="preserve">t/as </w:t>
            </w:r>
            <w:r w:rsidR="00B8137B" w:rsidRPr="00934136">
              <w:t>Ultimate Kitchen &amp; Bathrooms</w:t>
            </w:r>
          </w:p>
        </w:tc>
      </w:tr>
      <w:tr w:rsidR="00F532E2" w:rsidRPr="00934136" w14:paraId="00EDCB58" w14:textId="77777777" w:rsidTr="00F532E2">
        <w:trPr>
          <w:trHeight w:val="60"/>
        </w:trPr>
        <w:tc>
          <w:tcPr>
            <w:tcW w:w="3686" w:type="dxa"/>
          </w:tcPr>
          <w:p w14:paraId="2E36BA79" w14:textId="67787703"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049C72D3" w14:textId="59D806D6" w:rsidR="00F532E2" w:rsidRPr="00934136" w:rsidRDefault="00D65A12" w:rsidP="00F532E2">
            <w:pPr>
              <w:pStyle w:val="TableText"/>
            </w:pPr>
            <w:r>
              <w:t>Shashi International Pty Ltd t/as CBD Movers</w:t>
            </w:r>
          </w:p>
        </w:tc>
      </w:tr>
    </w:tbl>
    <w:p w14:paraId="27813DDD" w14:textId="77777777" w:rsidR="005D12F7" w:rsidRPr="00934136" w:rsidRDefault="005D12F7" w:rsidP="005D12F7">
      <w:pPr>
        <w:pStyle w:val="Heading5"/>
      </w:pPr>
      <w:r w:rsidRPr="00934136">
        <w:t>Court and tribunal matters finalised in 2023–24</w:t>
      </w:r>
    </w:p>
    <w:p w14:paraId="005E1FBC" w14:textId="32B3A638" w:rsidR="00F532E2" w:rsidRPr="00934136" w:rsidRDefault="00F532E2" w:rsidP="00F532E2">
      <w:pPr>
        <w:pStyle w:val="Heading6"/>
      </w:pPr>
      <w:r w:rsidRPr="00934136">
        <w:t>Criminal prosecutions finalised</w:t>
      </w:r>
    </w:p>
    <w:tbl>
      <w:tblPr>
        <w:tblStyle w:val="TableGrid"/>
        <w:tblW w:w="9072" w:type="dxa"/>
        <w:tblLayout w:type="fixed"/>
        <w:tblLook w:val="06A0" w:firstRow="1" w:lastRow="0" w:firstColumn="1" w:lastColumn="0" w:noHBand="1" w:noVBand="1"/>
      </w:tblPr>
      <w:tblGrid>
        <w:gridCol w:w="3686"/>
        <w:gridCol w:w="5386"/>
      </w:tblGrid>
      <w:tr w:rsidR="00F532E2" w:rsidRPr="00934136" w14:paraId="02892FC5" w14:textId="77777777" w:rsidTr="00F532E2">
        <w:trPr>
          <w:cnfStyle w:val="100000000000" w:firstRow="1" w:lastRow="0" w:firstColumn="0" w:lastColumn="0" w:oddVBand="0" w:evenVBand="0" w:oddHBand="0" w:evenHBand="0" w:firstRowFirstColumn="0" w:firstRowLastColumn="0" w:lastRowFirstColumn="0" w:lastRowLastColumn="0"/>
          <w:trHeight w:val="300"/>
          <w:tblHeader/>
        </w:trPr>
        <w:tc>
          <w:tcPr>
            <w:tcW w:w="3686" w:type="dxa"/>
          </w:tcPr>
          <w:p w14:paraId="7C5057C0" w14:textId="77777777" w:rsidR="00F532E2" w:rsidRPr="00934136" w:rsidRDefault="00F532E2" w:rsidP="00344571">
            <w:pPr>
              <w:pStyle w:val="TableColHead"/>
            </w:pPr>
            <w:r w:rsidRPr="00934136">
              <w:t>Legislation</w:t>
            </w:r>
          </w:p>
        </w:tc>
        <w:tc>
          <w:tcPr>
            <w:tcW w:w="5386" w:type="dxa"/>
          </w:tcPr>
          <w:p w14:paraId="31436BBE" w14:textId="77777777" w:rsidR="00F532E2" w:rsidRPr="00934136" w:rsidRDefault="00F532E2" w:rsidP="00344571">
            <w:pPr>
              <w:pStyle w:val="TableColHead"/>
            </w:pPr>
            <w:r w:rsidRPr="00934136">
              <w:t>Parties</w:t>
            </w:r>
          </w:p>
        </w:tc>
      </w:tr>
      <w:tr w:rsidR="00F532E2" w:rsidRPr="00934136" w14:paraId="2A9E2E3E" w14:textId="77777777" w:rsidTr="00F532E2">
        <w:trPr>
          <w:trHeight w:val="300"/>
        </w:trPr>
        <w:tc>
          <w:tcPr>
            <w:tcW w:w="3686" w:type="dxa"/>
          </w:tcPr>
          <w:p w14:paraId="63FA4094" w14:textId="524A6C2D" w:rsidR="00F532E2" w:rsidRPr="00934136" w:rsidRDefault="00F532E2" w:rsidP="00F532E2">
            <w:pPr>
              <w:pStyle w:val="TableText"/>
              <w:rPr>
                <w:rStyle w:val="Emphasis"/>
              </w:rPr>
            </w:pPr>
            <w:r w:rsidRPr="00934136">
              <w:rPr>
                <w:rStyle w:val="Emphasis"/>
              </w:rPr>
              <w:t>Estate Agents Act 1980</w:t>
            </w:r>
          </w:p>
        </w:tc>
        <w:tc>
          <w:tcPr>
            <w:tcW w:w="5386" w:type="dxa"/>
          </w:tcPr>
          <w:p w14:paraId="128C4776" w14:textId="40FEB220" w:rsidR="00F532E2" w:rsidRPr="00934136" w:rsidRDefault="00F532E2" w:rsidP="00F532E2">
            <w:pPr>
              <w:pStyle w:val="TableText"/>
            </w:pPr>
            <w:r w:rsidRPr="00934136">
              <w:t>DCAV v Jean-Noel Alain Philippe Gillet</w:t>
            </w:r>
          </w:p>
        </w:tc>
      </w:tr>
      <w:tr w:rsidR="00F532E2" w:rsidRPr="00934136" w14:paraId="65CCA0C0" w14:textId="77777777" w:rsidTr="00F532E2">
        <w:trPr>
          <w:trHeight w:val="300"/>
        </w:trPr>
        <w:tc>
          <w:tcPr>
            <w:tcW w:w="3686" w:type="dxa"/>
          </w:tcPr>
          <w:p w14:paraId="1160D918" w14:textId="7CCD3D05" w:rsidR="00F532E2" w:rsidRPr="00934136" w:rsidRDefault="00F532E2" w:rsidP="00F532E2">
            <w:pPr>
              <w:pStyle w:val="TableText"/>
              <w:rPr>
                <w:rStyle w:val="Emphasis"/>
              </w:rPr>
            </w:pPr>
            <w:r w:rsidRPr="00934136">
              <w:rPr>
                <w:rStyle w:val="Emphasis"/>
              </w:rPr>
              <w:t>Estate Agents Act 1980</w:t>
            </w:r>
          </w:p>
        </w:tc>
        <w:tc>
          <w:tcPr>
            <w:tcW w:w="5386" w:type="dxa"/>
          </w:tcPr>
          <w:p w14:paraId="4B7515A8" w14:textId="6FCDC9DD" w:rsidR="00F532E2" w:rsidRPr="00934136" w:rsidRDefault="00F532E2" w:rsidP="00F532E2">
            <w:pPr>
              <w:pStyle w:val="TableText"/>
            </w:pPr>
            <w:r w:rsidRPr="00934136">
              <w:t>DCAV v Kamn Real Estate</w:t>
            </w:r>
          </w:p>
        </w:tc>
      </w:tr>
      <w:tr w:rsidR="00F532E2" w:rsidRPr="00934136" w14:paraId="4DCDF7D8" w14:textId="77777777" w:rsidTr="00F532E2">
        <w:trPr>
          <w:trHeight w:val="60"/>
        </w:trPr>
        <w:tc>
          <w:tcPr>
            <w:tcW w:w="3686" w:type="dxa"/>
          </w:tcPr>
          <w:p w14:paraId="763FD3F7" w14:textId="48675D00"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09B3B25B" w14:textId="7E639A24" w:rsidR="00F532E2" w:rsidRPr="00934136" w:rsidRDefault="00F532E2" w:rsidP="00F532E2">
            <w:pPr>
              <w:pStyle w:val="TableText"/>
            </w:pPr>
            <w:r w:rsidRPr="00934136">
              <w:t>DCAV v Ben Purchase (No. 1)</w:t>
            </w:r>
          </w:p>
        </w:tc>
      </w:tr>
      <w:tr w:rsidR="00F532E2" w:rsidRPr="00934136" w14:paraId="29F4EED5" w14:textId="77777777" w:rsidTr="00F532E2">
        <w:trPr>
          <w:trHeight w:val="60"/>
        </w:trPr>
        <w:tc>
          <w:tcPr>
            <w:tcW w:w="3686" w:type="dxa"/>
          </w:tcPr>
          <w:p w14:paraId="71A9E871" w14:textId="0D567230" w:rsidR="00F532E2" w:rsidRPr="00934136" w:rsidRDefault="00F532E2" w:rsidP="00F532E2">
            <w:pPr>
              <w:pStyle w:val="TableText"/>
              <w:rPr>
                <w:rStyle w:val="Emphasis"/>
              </w:rPr>
            </w:pPr>
            <w:r w:rsidRPr="00934136">
              <w:rPr>
                <w:rStyle w:val="Emphasis"/>
              </w:rPr>
              <w:t>Fundraising Act 1998</w:t>
            </w:r>
          </w:p>
        </w:tc>
        <w:tc>
          <w:tcPr>
            <w:tcW w:w="5386" w:type="dxa"/>
          </w:tcPr>
          <w:p w14:paraId="1E472220" w14:textId="5365BC76" w:rsidR="00F532E2" w:rsidRPr="00934136" w:rsidRDefault="00F532E2" w:rsidP="00F532E2">
            <w:pPr>
              <w:pStyle w:val="TableText"/>
            </w:pPr>
            <w:r w:rsidRPr="00934136">
              <w:t>DCAV v Monica Smit &amp; Reignite Democracy Australia</w:t>
            </w:r>
          </w:p>
        </w:tc>
      </w:tr>
    </w:tbl>
    <w:p w14:paraId="54A1B6C7" w14:textId="77777777" w:rsidR="005D12F7" w:rsidRPr="00934136" w:rsidRDefault="005D12F7" w:rsidP="005D12F7">
      <w:pPr>
        <w:pStyle w:val="Heading6"/>
      </w:pPr>
      <w:r w:rsidRPr="00934136">
        <w:t>Civil proceedings finalised (including disciplinary inquiry and appeals)</w:t>
      </w:r>
    </w:p>
    <w:tbl>
      <w:tblPr>
        <w:tblStyle w:val="TableGrid"/>
        <w:tblW w:w="9072" w:type="dxa"/>
        <w:tblLayout w:type="fixed"/>
        <w:tblLook w:val="06A0" w:firstRow="1" w:lastRow="0" w:firstColumn="1" w:lastColumn="0" w:noHBand="1" w:noVBand="1"/>
      </w:tblPr>
      <w:tblGrid>
        <w:gridCol w:w="3686"/>
        <w:gridCol w:w="5386"/>
      </w:tblGrid>
      <w:tr w:rsidR="00F532E2" w:rsidRPr="00934136" w14:paraId="3AEE443D" w14:textId="77777777" w:rsidTr="00344571">
        <w:trPr>
          <w:cnfStyle w:val="100000000000" w:firstRow="1" w:lastRow="0" w:firstColumn="0" w:lastColumn="0" w:oddVBand="0" w:evenVBand="0" w:oddHBand="0" w:evenHBand="0" w:firstRowFirstColumn="0" w:firstRowLastColumn="0" w:lastRowFirstColumn="0" w:lastRowLastColumn="0"/>
          <w:trHeight w:val="300"/>
          <w:tblHeader/>
        </w:trPr>
        <w:tc>
          <w:tcPr>
            <w:tcW w:w="3686" w:type="dxa"/>
          </w:tcPr>
          <w:p w14:paraId="2C94D826" w14:textId="77777777" w:rsidR="00F532E2" w:rsidRPr="00934136" w:rsidRDefault="00F532E2" w:rsidP="00344571">
            <w:pPr>
              <w:pStyle w:val="TableColHead"/>
            </w:pPr>
            <w:r w:rsidRPr="00934136">
              <w:t>Legislation</w:t>
            </w:r>
          </w:p>
        </w:tc>
        <w:tc>
          <w:tcPr>
            <w:tcW w:w="5386" w:type="dxa"/>
          </w:tcPr>
          <w:p w14:paraId="6534F029" w14:textId="77777777" w:rsidR="00F532E2" w:rsidRPr="00934136" w:rsidRDefault="00F532E2" w:rsidP="00344571">
            <w:pPr>
              <w:pStyle w:val="TableColHead"/>
            </w:pPr>
            <w:r w:rsidRPr="00934136">
              <w:t>Parties</w:t>
            </w:r>
          </w:p>
        </w:tc>
      </w:tr>
      <w:tr w:rsidR="00F532E2" w:rsidRPr="00934136" w14:paraId="18D8EF78" w14:textId="77777777" w:rsidTr="00344571">
        <w:trPr>
          <w:trHeight w:val="300"/>
        </w:trPr>
        <w:tc>
          <w:tcPr>
            <w:tcW w:w="3686" w:type="dxa"/>
          </w:tcPr>
          <w:p w14:paraId="61BCAEDA" w14:textId="2F6563FD" w:rsidR="00F532E2" w:rsidRPr="00934136" w:rsidRDefault="00F532E2" w:rsidP="00F532E2">
            <w:pPr>
              <w:pStyle w:val="TableText"/>
              <w:rPr>
                <w:rStyle w:val="Emphasis"/>
              </w:rPr>
            </w:pPr>
            <w:r w:rsidRPr="00934136">
              <w:rPr>
                <w:rStyle w:val="Emphasis"/>
              </w:rPr>
              <w:t>Estate Agents Act 1980</w:t>
            </w:r>
          </w:p>
        </w:tc>
        <w:tc>
          <w:tcPr>
            <w:tcW w:w="5386" w:type="dxa"/>
          </w:tcPr>
          <w:p w14:paraId="1E8CC11B" w14:textId="1DC2B2B3" w:rsidR="00F532E2" w:rsidRPr="00934136" w:rsidRDefault="00F532E2" w:rsidP="00F532E2">
            <w:pPr>
              <w:pStyle w:val="TableText"/>
            </w:pPr>
            <w:r w:rsidRPr="00934136">
              <w:t>DCAV v Gaurav Kapoor and Om Shri Pty Ltd</w:t>
            </w:r>
          </w:p>
        </w:tc>
      </w:tr>
      <w:tr w:rsidR="00F532E2" w:rsidRPr="00934136" w14:paraId="06FDC4F0" w14:textId="77777777" w:rsidTr="00344571">
        <w:trPr>
          <w:trHeight w:val="300"/>
        </w:trPr>
        <w:tc>
          <w:tcPr>
            <w:tcW w:w="3686" w:type="dxa"/>
          </w:tcPr>
          <w:p w14:paraId="55678D15" w14:textId="6F5E7609" w:rsidR="00F532E2" w:rsidRPr="00934136" w:rsidRDefault="00F532E2" w:rsidP="00F532E2">
            <w:pPr>
              <w:pStyle w:val="TableText"/>
              <w:rPr>
                <w:rStyle w:val="Emphasis"/>
              </w:rPr>
            </w:pPr>
            <w:r w:rsidRPr="00934136">
              <w:rPr>
                <w:rStyle w:val="Emphasis"/>
              </w:rPr>
              <w:t>Estate Agents Act 1980</w:t>
            </w:r>
          </w:p>
        </w:tc>
        <w:tc>
          <w:tcPr>
            <w:tcW w:w="5386" w:type="dxa"/>
          </w:tcPr>
          <w:p w14:paraId="009C4B34" w14:textId="4298B4A7" w:rsidR="00F532E2" w:rsidRPr="00934136" w:rsidRDefault="00F532E2" w:rsidP="00F532E2">
            <w:pPr>
              <w:pStyle w:val="TableText"/>
            </w:pPr>
            <w:r w:rsidRPr="00934136">
              <w:t>DCAV v Aus Investors Pty Ltd &amp; Peter Nichols</w:t>
            </w:r>
          </w:p>
        </w:tc>
      </w:tr>
      <w:tr w:rsidR="00F532E2" w:rsidRPr="00934136" w14:paraId="00623F08" w14:textId="77777777" w:rsidTr="00344571">
        <w:trPr>
          <w:trHeight w:val="60"/>
        </w:trPr>
        <w:tc>
          <w:tcPr>
            <w:tcW w:w="3686" w:type="dxa"/>
          </w:tcPr>
          <w:p w14:paraId="5078E3C2" w14:textId="491BCB65" w:rsidR="00F532E2" w:rsidRPr="00934136" w:rsidRDefault="00F532E2" w:rsidP="00F532E2">
            <w:pPr>
              <w:pStyle w:val="TableText"/>
              <w:rPr>
                <w:rStyle w:val="Emphasis"/>
              </w:rPr>
            </w:pPr>
            <w:r w:rsidRPr="00934136">
              <w:rPr>
                <w:rStyle w:val="Emphasis"/>
              </w:rPr>
              <w:t>Estate Agents Act 1980</w:t>
            </w:r>
          </w:p>
        </w:tc>
        <w:tc>
          <w:tcPr>
            <w:tcW w:w="5386" w:type="dxa"/>
          </w:tcPr>
          <w:p w14:paraId="48C67423" w14:textId="0711E073" w:rsidR="00F532E2" w:rsidRPr="00934136" w:rsidRDefault="00F532E2" w:rsidP="00F532E2">
            <w:pPr>
              <w:pStyle w:val="TableText"/>
            </w:pPr>
            <w:r w:rsidRPr="00934136">
              <w:t xml:space="preserve">DCAV v </w:t>
            </w:r>
            <w:r w:rsidR="00EB6E61" w:rsidRPr="00934136">
              <w:t xml:space="preserve">David Mao </w:t>
            </w:r>
            <w:r w:rsidR="00EB6E61">
              <w:t xml:space="preserve">&amp; </w:t>
            </w:r>
            <w:r w:rsidRPr="00934136">
              <w:t>David Mao Real Estate Pty Ltd</w:t>
            </w:r>
          </w:p>
        </w:tc>
      </w:tr>
    </w:tbl>
    <w:p w14:paraId="4171EBD4" w14:textId="77777777" w:rsidR="006157B7" w:rsidRPr="006157B7" w:rsidRDefault="006157B7" w:rsidP="006157B7">
      <w:pPr>
        <w:pStyle w:val="BodyText"/>
      </w:pPr>
      <w:r w:rsidRPr="006157B7">
        <w:br w:type="page"/>
      </w:r>
    </w:p>
    <w:p w14:paraId="1E35AF57" w14:textId="58C96699" w:rsidR="005D12F7" w:rsidRPr="00934136" w:rsidRDefault="005D12F7" w:rsidP="005D12F7">
      <w:pPr>
        <w:pStyle w:val="Heading5"/>
      </w:pPr>
      <w:r w:rsidRPr="00934136">
        <w:lastRenderedPageBreak/>
        <w:t>Ongoing court matters as at 30 June 2024</w:t>
      </w:r>
    </w:p>
    <w:p w14:paraId="0C944E49" w14:textId="77777777" w:rsidR="005D12F7" w:rsidRPr="00934136" w:rsidRDefault="005D12F7" w:rsidP="005D12F7">
      <w:pPr>
        <w:pStyle w:val="Heading6"/>
      </w:pPr>
      <w:r w:rsidRPr="00934136">
        <w:t>Criminal prosecution</w:t>
      </w:r>
    </w:p>
    <w:tbl>
      <w:tblPr>
        <w:tblStyle w:val="TableGrid"/>
        <w:tblW w:w="9072" w:type="dxa"/>
        <w:tblLayout w:type="fixed"/>
        <w:tblLook w:val="06A0" w:firstRow="1" w:lastRow="0" w:firstColumn="1" w:lastColumn="0" w:noHBand="1" w:noVBand="1"/>
      </w:tblPr>
      <w:tblGrid>
        <w:gridCol w:w="3686"/>
        <w:gridCol w:w="5386"/>
      </w:tblGrid>
      <w:tr w:rsidR="00F532E2" w:rsidRPr="00934136" w14:paraId="4013761A" w14:textId="77777777" w:rsidTr="00344571">
        <w:trPr>
          <w:cnfStyle w:val="100000000000" w:firstRow="1" w:lastRow="0" w:firstColumn="0" w:lastColumn="0" w:oddVBand="0" w:evenVBand="0" w:oddHBand="0" w:evenHBand="0" w:firstRowFirstColumn="0" w:firstRowLastColumn="0" w:lastRowFirstColumn="0" w:lastRowLastColumn="0"/>
          <w:trHeight w:val="60"/>
          <w:tblHeader/>
        </w:trPr>
        <w:tc>
          <w:tcPr>
            <w:tcW w:w="3686" w:type="dxa"/>
          </w:tcPr>
          <w:p w14:paraId="57A1DD79" w14:textId="77777777" w:rsidR="00F532E2" w:rsidRPr="00934136" w:rsidRDefault="00F532E2" w:rsidP="00344571">
            <w:pPr>
              <w:pStyle w:val="TableColHead"/>
            </w:pPr>
            <w:r w:rsidRPr="00934136">
              <w:t>Legislation</w:t>
            </w:r>
          </w:p>
        </w:tc>
        <w:tc>
          <w:tcPr>
            <w:tcW w:w="5386" w:type="dxa"/>
          </w:tcPr>
          <w:p w14:paraId="77BA45C4" w14:textId="77777777" w:rsidR="00F532E2" w:rsidRPr="00934136" w:rsidRDefault="00F532E2" w:rsidP="00344571">
            <w:pPr>
              <w:pStyle w:val="TableColHead"/>
            </w:pPr>
            <w:r w:rsidRPr="00934136">
              <w:t>Parties</w:t>
            </w:r>
          </w:p>
        </w:tc>
      </w:tr>
      <w:tr w:rsidR="00F532E2" w:rsidRPr="00934136" w14:paraId="3505E6EF" w14:textId="77777777" w:rsidTr="00344571">
        <w:trPr>
          <w:trHeight w:val="60"/>
        </w:trPr>
        <w:tc>
          <w:tcPr>
            <w:tcW w:w="3686" w:type="dxa"/>
          </w:tcPr>
          <w:p w14:paraId="45A68DB3" w14:textId="1713C0D2"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2196E618" w14:textId="5D186D25" w:rsidR="00F532E2" w:rsidRPr="00934136" w:rsidRDefault="00F532E2" w:rsidP="00F532E2">
            <w:pPr>
              <w:pStyle w:val="TableText"/>
            </w:pPr>
            <w:r w:rsidRPr="00934136">
              <w:t>DCAV v Andrew Valk &amp; Shade Solutions Australia (Vic) Pty Ltd (now SSA (Vic) Pty Ltd)</w:t>
            </w:r>
          </w:p>
        </w:tc>
      </w:tr>
      <w:tr w:rsidR="00F532E2" w:rsidRPr="00934136" w14:paraId="51A4D10C" w14:textId="77777777" w:rsidTr="00344571">
        <w:trPr>
          <w:trHeight w:val="60"/>
        </w:trPr>
        <w:tc>
          <w:tcPr>
            <w:tcW w:w="3686" w:type="dxa"/>
          </w:tcPr>
          <w:p w14:paraId="3E792BDA" w14:textId="6BD900F8" w:rsidR="00F532E2" w:rsidRPr="00934136" w:rsidRDefault="00F532E2" w:rsidP="00F532E2">
            <w:pPr>
              <w:pStyle w:val="TableText"/>
              <w:rPr>
                <w:rStyle w:val="Emphasis"/>
              </w:rPr>
            </w:pPr>
            <w:r w:rsidRPr="00934136">
              <w:rPr>
                <w:rStyle w:val="Emphasis"/>
              </w:rPr>
              <w:t xml:space="preserve">Australian Consumer Law </w:t>
            </w:r>
            <w:r w:rsidRPr="00934136">
              <w:rPr>
                <w:rStyle w:val="Emphasis"/>
              </w:rPr>
              <w:br/>
              <w:t>and Fair Trading Act 2012</w:t>
            </w:r>
          </w:p>
        </w:tc>
        <w:tc>
          <w:tcPr>
            <w:tcW w:w="5386" w:type="dxa"/>
          </w:tcPr>
          <w:p w14:paraId="4994198B" w14:textId="223C615F" w:rsidR="00F532E2" w:rsidRPr="00934136" w:rsidRDefault="00F532E2" w:rsidP="00F532E2">
            <w:pPr>
              <w:pStyle w:val="TableText"/>
            </w:pPr>
            <w:r w:rsidRPr="00934136">
              <w:t>DCAV v Michael Stanyer &amp; RMS Collections</w:t>
            </w:r>
          </w:p>
        </w:tc>
      </w:tr>
      <w:tr w:rsidR="00F532E2" w:rsidRPr="00934136" w14:paraId="0A6F9164" w14:textId="77777777" w:rsidTr="00344571">
        <w:trPr>
          <w:trHeight w:val="60"/>
        </w:trPr>
        <w:tc>
          <w:tcPr>
            <w:tcW w:w="3686" w:type="dxa"/>
          </w:tcPr>
          <w:p w14:paraId="3AF4943F" w14:textId="31FCA9D2" w:rsidR="00F532E2" w:rsidRPr="00934136" w:rsidRDefault="00F532E2" w:rsidP="00F532E2">
            <w:pPr>
              <w:pStyle w:val="TableText"/>
              <w:rPr>
                <w:rStyle w:val="Emphasis"/>
              </w:rPr>
            </w:pPr>
            <w:r w:rsidRPr="00934136">
              <w:rPr>
                <w:rStyle w:val="Emphasis"/>
              </w:rPr>
              <w:t>Estate Agents Act 1980</w:t>
            </w:r>
          </w:p>
        </w:tc>
        <w:tc>
          <w:tcPr>
            <w:tcW w:w="5386" w:type="dxa"/>
          </w:tcPr>
          <w:p w14:paraId="53E81B63" w14:textId="5CD8141F" w:rsidR="00F532E2" w:rsidRPr="00934136" w:rsidRDefault="00F532E2" w:rsidP="00F532E2">
            <w:pPr>
              <w:pStyle w:val="TableText"/>
            </w:pPr>
            <w:r w:rsidRPr="00934136">
              <w:t xml:space="preserve">DCAV v Manningham Sales Pty Ltd </w:t>
            </w:r>
            <w:r w:rsidRPr="00934136">
              <w:br/>
              <w:t>t/as Barry Plant Manningham</w:t>
            </w:r>
          </w:p>
        </w:tc>
      </w:tr>
      <w:tr w:rsidR="00F532E2" w:rsidRPr="00934136" w14:paraId="032357FD" w14:textId="77777777" w:rsidTr="00344571">
        <w:trPr>
          <w:trHeight w:val="60"/>
        </w:trPr>
        <w:tc>
          <w:tcPr>
            <w:tcW w:w="3686" w:type="dxa"/>
          </w:tcPr>
          <w:p w14:paraId="7529566F" w14:textId="4C486CE6" w:rsidR="00F532E2" w:rsidRPr="00934136" w:rsidRDefault="00F532E2" w:rsidP="00F532E2">
            <w:pPr>
              <w:pStyle w:val="TableText"/>
              <w:rPr>
                <w:rStyle w:val="Emphasis"/>
              </w:rPr>
            </w:pPr>
            <w:r w:rsidRPr="00934136">
              <w:rPr>
                <w:rStyle w:val="Emphasis"/>
              </w:rPr>
              <w:t>Domestic Building Contracts Act &amp; Australian Consumer Law</w:t>
            </w:r>
          </w:p>
        </w:tc>
        <w:tc>
          <w:tcPr>
            <w:tcW w:w="5386" w:type="dxa"/>
          </w:tcPr>
          <w:p w14:paraId="4DE5C780" w14:textId="1BEAE2A5" w:rsidR="00F532E2" w:rsidRPr="00934136" w:rsidRDefault="00F532E2" w:rsidP="00F532E2">
            <w:pPr>
              <w:pStyle w:val="TableText"/>
            </w:pPr>
            <w:r w:rsidRPr="00934136">
              <w:t>DCAV v Mark Rayes</w:t>
            </w:r>
          </w:p>
        </w:tc>
      </w:tr>
      <w:tr w:rsidR="00F532E2" w:rsidRPr="00934136" w14:paraId="102A57E1" w14:textId="77777777" w:rsidTr="00344571">
        <w:trPr>
          <w:trHeight w:val="60"/>
        </w:trPr>
        <w:tc>
          <w:tcPr>
            <w:tcW w:w="3686" w:type="dxa"/>
          </w:tcPr>
          <w:p w14:paraId="7DF33A41" w14:textId="5EC8A0E7" w:rsidR="00F532E2" w:rsidRPr="00934136" w:rsidRDefault="00F532E2" w:rsidP="00F532E2">
            <w:pPr>
              <w:pStyle w:val="TableText"/>
              <w:rPr>
                <w:rStyle w:val="Emphasis"/>
              </w:rPr>
            </w:pPr>
            <w:r w:rsidRPr="00934136">
              <w:rPr>
                <w:rStyle w:val="Emphasis"/>
              </w:rPr>
              <w:t>Australian Consumer Law</w:t>
            </w:r>
          </w:p>
        </w:tc>
        <w:tc>
          <w:tcPr>
            <w:tcW w:w="5386" w:type="dxa"/>
          </w:tcPr>
          <w:p w14:paraId="770EDC67" w14:textId="797C1648" w:rsidR="00F532E2" w:rsidRPr="00934136" w:rsidRDefault="00F532E2" w:rsidP="00F532E2">
            <w:pPr>
              <w:pStyle w:val="TableText"/>
            </w:pPr>
            <w:r w:rsidRPr="00934136">
              <w:t>DCAV v Christopher Michael</w:t>
            </w:r>
          </w:p>
        </w:tc>
      </w:tr>
      <w:tr w:rsidR="00F532E2" w:rsidRPr="00934136" w14:paraId="0000FD76" w14:textId="77777777" w:rsidTr="00344571">
        <w:trPr>
          <w:trHeight w:val="60"/>
        </w:trPr>
        <w:tc>
          <w:tcPr>
            <w:tcW w:w="3686" w:type="dxa"/>
          </w:tcPr>
          <w:p w14:paraId="4379FAFA" w14:textId="7210AFA0" w:rsidR="00F532E2" w:rsidRPr="00934136" w:rsidRDefault="00F532E2" w:rsidP="00F532E2">
            <w:pPr>
              <w:pStyle w:val="TableText"/>
              <w:rPr>
                <w:rStyle w:val="Emphasis"/>
              </w:rPr>
            </w:pPr>
            <w:r w:rsidRPr="00934136">
              <w:rPr>
                <w:rStyle w:val="Emphasis"/>
              </w:rPr>
              <w:t>Estate Agents Act 1980</w:t>
            </w:r>
          </w:p>
        </w:tc>
        <w:tc>
          <w:tcPr>
            <w:tcW w:w="5386" w:type="dxa"/>
          </w:tcPr>
          <w:p w14:paraId="399E110D" w14:textId="5F7270B1" w:rsidR="00F532E2" w:rsidRPr="00934136" w:rsidRDefault="00F532E2" w:rsidP="00F532E2">
            <w:pPr>
              <w:pStyle w:val="TableText"/>
            </w:pPr>
            <w:r w:rsidRPr="00934136">
              <w:t>DCAV v Syed Zafar &amp; Zafar Property Group Pty Ltd</w:t>
            </w:r>
          </w:p>
        </w:tc>
      </w:tr>
      <w:tr w:rsidR="00F532E2" w:rsidRPr="00934136" w14:paraId="365AF3D2" w14:textId="77777777" w:rsidTr="00344571">
        <w:trPr>
          <w:trHeight w:val="60"/>
        </w:trPr>
        <w:tc>
          <w:tcPr>
            <w:tcW w:w="3686" w:type="dxa"/>
          </w:tcPr>
          <w:p w14:paraId="41085442" w14:textId="66805ACB" w:rsidR="00F532E2" w:rsidRPr="00934136" w:rsidRDefault="00F532E2" w:rsidP="00F532E2">
            <w:pPr>
              <w:pStyle w:val="TableText"/>
              <w:rPr>
                <w:rStyle w:val="Emphasis"/>
              </w:rPr>
            </w:pPr>
            <w:r w:rsidRPr="00934136">
              <w:rPr>
                <w:rStyle w:val="Emphasis"/>
              </w:rPr>
              <w:t>Estate Agents Act 1980</w:t>
            </w:r>
          </w:p>
        </w:tc>
        <w:tc>
          <w:tcPr>
            <w:tcW w:w="5386" w:type="dxa"/>
          </w:tcPr>
          <w:p w14:paraId="77955140" w14:textId="4E1027EA" w:rsidR="00F532E2" w:rsidRPr="00934136" w:rsidRDefault="00F532E2" w:rsidP="00F532E2">
            <w:pPr>
              <w:pStyle w:val="TableText"/>
            </w:pPr>
            <w:r w:rsidRPr="00934136">
              <w:t>DPP v Justin Scavo</w:t>
            </w:r>
          </w:p>
        </w:tc>
      </w:tr>
    </w:tbl>
    <w:p w14:paraId="3C382B55" w14:textId="77777777" w:rsidR="005D12F7" w:rsidRPr="00934136" w:rsidRDefault="005D12F7" w:rsidP="005D12F7">
      <w:pPr>
        <w:pStyle w:val="Heading6"/>
      </w:pPr>
      <w:r w:rsidRPr="00934136">
        <w:t>Civil proceedings (including disciplinary inquiry)</w:t>
      </w:r>
    </w:p>
    <w:tbl>
      <w:tblPr>
        <w:tblStyle w:val="TableGrid"/>
        <w:tblW w:w="9072" w:type="dxa"/>
        <w:tblLayout w:type="fixed"/>
        <w:tblLook w:val="06A0" w:firstRow="1" w:lastRow="0" w:firstColumn="1" w:lastColumn="0" w:noHBand="1" w:noVBand="1"/>
      </w:tblPr>
      <w:tblGrid>
        <w:gridCol w:w="3686"/>
        <w:gridCol w:w="5386"/>
      </w:tblGrid>
      <w:tr w:rsidR="00F532E2" w:rsidRPr="00934136" w14:paraId="3C0B4A80" w14:textId="77777777" w:rsidTr="00344571">
        <w:trPr>
          <w:cnfStyle w:val="100000000000" w:firstRow="1" w:lastRow="0" w:firstColumn="0" w:lastColumn="0" w:oddVBand="0" w:evenVBand="0" w:oddHBand="0" w:evenHBand="0" w:firstRowFirstColumn="0" w:firstRowLastColumn="0" w:lastRowFirstColumn="0" w:lastRowLastColumn="0"/>
          <w:trHeight w:val="60"/>
          <w:tblHeader/>
        </w:trPr>
        <w:tc>
          <w:tcPr>
            <w:tcW w:w="3686" w:type="dxa"/>
          </w:tcPr>
          <w:p w14:paraId="5135FDF5" w14:textId="77777777" w:rsidR="00F532E2" w:rsidRPr="00934136" w:rsidRDefault="00F532E2" w:rsidP="00344571">
            <w:pPr>
              <w:pStyle w:val="TableColHead"/>
            </w:pPr>
            <w:r w:rsidRPr="00934136">
              <w:t>Legislation</w:t>
            </w:r>
          </w:p>
        </w:tc>
        <w:tc>
          <w:tcPr>
            <w:tcW w:w="5386" w:type="dxa"/>
          </w:tcPr>
          <w:p w14:paraId="1F5C8948" w14:textId="77777777" w:rsidR="00F532E2" w:rsidRPr="00934136" w:rsidRDefault="00F532E2" w:rsidP="00344571">
            <w:pPr>
              <w:pStyle w:val="TableColHead"/>
            </w:pPr>
            <w:r w:rsidRPr="00934136">
              <w:t>Parties</w:t>
            </w:r>
          </w:p>
        </w:tc>
      </w:tr>
      <w:tr w:rsidR="00F532E2" w:rsidRPr="00934136" w14:paraId="2C46FE0E" w14:textId="77777777" w:rsidTr="00344571">
        <w:trPr>
          <w:trHeight w:val="60"/>
        </w:trPr>
        <w:tc>
          <w:tcPr>
            <w:tcW w:w="3686" w:type="dxa"/>
          </w:tcPr>
          <w:p w14:paraId="1835E4F2" w14:textId="6347EC85" w:rsidR="00F532E2" w:rsidRPr="00934136" w:rsidRDefault="00F532E2" w:rsidP="00F532E2">
            <w:pPr>
              <w:pStyle w:val="TableText"/>
              <w:rPr>
                <w:rStyle w:val="Emphasis"/>
              </w:rPr>
            </w:pPr>
            <w:r w:rsidRPr="00934136">
              <w:rPr>
                <w:rStyle w:val="Emphasis"/>
              </w:rPr>
              <w:t>Estate Agents Act 1980</w:t>
            </w:r>
          </w:p>
        </w:tc>
        <w:tc>
          <w:tcPr>
            <w:tcW w:w="5386" w:type="dxa"/>
          </w:tcPr>
          <w:p w14:paraId="669CE696" w14:textId="4BE6706B" w:rsidR="00F532E2" w:rsidRPr="00934136" w:rsidRDefault="00F532E2" w:rsidP="00F532E2">
            <w:pPr>
              <w:pStyle w:val="TableText"/>
            </w:pPr>
            <w:r w:rsidRPr="00934136">
              <w:t>DCAV v Charter Lane Pty Ltd &amp; Hakan Ali</w:t>
            </w:r>
          </w:p>
        </w:tc>
      </w:tr>
      <w:tr w:rsidR="00F532E2" w:rsidRPr="00934136" w14:paraId="60BCFA48" w14:textId="77777777" w:rsidTr="00344571">
        <w:trPr>
          <w:trHeight w:val="60"/>
        </w:trPr>
        <w:tc>
          <w:tcPr>
            <w:tcW w:w="3686" w:type="dxa"/>
          </w:tcPr>
          <w:p w14:paraId="3A8D38B3" w14:textId="74B60052" w:rsidR="00F532E2" w:rsidRPr="00934136" w:rsidRDefault="00F532E2" w:rsidP="00F532E2">
            <w:pPr>
              <w:pStyle w:val="TableText"/>
              <w:rPr>
                <w:rStyle w:val="Emphasis"/>
              </w:rPr>
            </w:pPr>
            <w:r w:rsidRPr="00934136">
              <w:rPr>
                <w:rStyle w:val="Emphasis"/>
              </w:rPr>
              <w:t>Estate Agents Act 1980</w:t>
            </w:r>
          </w:p>
        </w:tc>
        <w:tc>
          <w:tcPr>
            <w:tcW w:w="5386" w:type="dxa"/>
          </w:tcPr>
          <w:p w14:paraId="56C50E28" w14:textId="09204727" w:rsidR="00F532E2" w:rsidRPr="00934136" w:rsidRDefault="00F532E2" w:rsidP="00F532E2">
            <w:pPr>
              <w:pStyle w:val="TableText"/>
            </w:pPr>
            <w:r w:rsidRPr="00934136">
              <w:t>DCAV v Christopher Kontossis</w:t>
            </w:r>
          </w:p>
        </w:tc>
      </w:tr>
      <w:tr w:rsidR="00F532E2" w:rsidRPr="00934136" w14:paraId="4CCAEBB2" w14:textId="77777777" w:rsidTr="00344571">
        <w:trPr>
          <w:trHeight w:val="60"/>
        </w:trPr>
        <w:tc>
          <w:tcPr>
            <w:tcW w:w="3686" w:type="dxa"/>
          </w:tcPr>
          <w:p w14:paraId="4CDA8F9F" w14:textId="33C5768A" w:rsidR="00F532E2" w:rsidRPr="00934136" w:rsidRDefault="00F532E2" w:rsidP="00F532E2">
            <w:pPr>
              <w:pStyle w:val="TableText"/>
              <w:rPr>
                <w:rStyle w:val="Emphasis"/>
              </w:rPr>
            </w:pPr>
            <w:r w:rsidRPr="00934136">
              <w:rPr>
                <w:rStyle w:val="Emphasis"/>
              </w:rPr>
              <w:t>Estate Agents Act 1980</w:t>
            </w:r>
          </w:p>
        </w:tc>
        <w:tc>
          <w:tcPr>
            <w:tcW w:w="5386" w:type="dxa"/>
          </w:tcPr>
          <w:p w14:paraId="77C49D13" w14:textId="2877D2ED" w:rsidR="00F532E2" w:rsidRPr="00934136" w:rsidRDefault="00F532E2" w:rsidP="00F532E2">
            <w:pPr>
              <w:pStyle w:val="TableText"/>
            </w:pPr>
            <w:r w:rsidRPr="00934136">
              <w:t>DCAV v James Ferris &amp; James Ferris Property Pty Ltd</w:t>
            </w:r>
          </w:p>
        </w:tc>
      </w:tr>
      <w:tr w:rsidR="00F532E2" w:rsidRPr="00934136" w14:paraId="0B7841FA" w14:textId="77777777" w:rsidTr="00344571">
        <w:trPr>
          <w:trHeight w:val="60"/>
        </w:trPr>
        <w:tc>
          <w:tcPr>
            <w:tcW w:w="3686" w:type="dxa"/>
          </w:tcPr>
          <w:p w14:paraId="1FC0E701" w14:textId="68EAEF1E" w:rsidR="00F532E2" w:rsidRPr="00934136" w:rsidRDefault="00F532E2" w:rsidP="00F532E2">
            <w:pPr>
              <w:pStyle w:val="TableText"/>
              <w:rPr>
                <w:rStyle w:val="Emphasis"/>
              </w:rPr>
            </w:pPr>
            <w:r w:rsidRPr="00934136">
              <w:rPr>
                <w:rStyle w:val="Emphasis"/>
              </w:rPr>
              <w:t>Estate Agents Act 1980</w:t>
            </w:r>
          </w:p>
        </w:tc>
        <w:tc>
          <w:tcPr>
            <w:tcW w:w="5386" w:type="dxa"/>
          </w:tcPr>
          <w:p w14:paraId="466AD4F3" w14:textId="1216463A" w:rsidR="00F532E2" w:rsidRPr="00934136" w:rsidRDefault="00F532E2" w:rsidP="00F532E2">
            <w:pPr>
              <w:pStyle w:val="TableText"/>
            </w:pPr>
            <w:r w:rsidRPr="00934136">
              <w:t>DCAV v Xuan Sang Nguyen</w:t>
            </w:r>
          </w:p>
        </w:tc>
      </w:tr>
      <w:tr w:rsidR="00F532E2" w:rsidRPr="00934136" w14:paraId="5226638F" w14:textId="77777777" w:rsidTr="00344571">
        <w:trPr>
          <w:trHeight w:val="60"/>
        </w:trPr>
        <w:tc>
          <w:tcPr>
            <w:tcW w:w="3686" w:type="dxa"/>
          </w:tcPr>
          <w:p w14:paraId="1F87C32D" w14:textId="2B3777C0" w:rsidR="00F532E2" w:rsidRPr="00934136" w:rsidRDefault="00F532E2" w:rsidP="00F532E2">
            <w:pPr>
              <w:pStyle w:val="TableText"/>
              <w:rPr>
                <w:rStyle w:val="Emphasis"/>
              </w:rPr>
            </w:pPr>
            <w:r w:rsidRPr="00934136">
              <w:rPr>
                <w:rStyle w:val="Emphasis"/>
              </w:rPr>
              <w:t>Estate Agents Act 1980</w:t>
            </w:r>
          </w:p>
        </w:tc>
        <w:tc>
          <w:tcPr>
            <w:tcW w:w="5386" w:type="dxa"/>
          </w:tcPr>
          <w:p w14:paraId="36576765" w14:textId="7F4E867E" w:rsidR="00F532E2" w:rsidRPr="00934136" w:rsidRDefault="00F532E2" w:rsidP="00F532E2">
            <w:pPr>
              <w:pStyle w:val="TableText"/>
            </w:pPr>
            <w:r w:rsidRPr="00934136">
              <w:t>DCAV v Loan Hong Tran</w:t>
            </w:r>
          </w:p>
        </w:tc>
      </w:tr>
      <w:tr w:rsidR="00F532E2" w:rsidRPr="00934136" w14:paraId="781AE682" w14:textId="77777777" w:rsidTr="00344571">
        <w:trPr>
          <w:trHeight w:val="60"/>
        </w:trPr>
        <w:tc>
          <w:tcPr>
            <w:tcW w:w="3686" w:type="dxa"/>
          </w:tcPr>
          <w:p w14:paraId="25C644EF" w14:textId="500A52A0" w:rsidR="00F532E2" w:rsidRPr="00934136" w:rsidRDefault="00F532E2" w:rsidP="00F532E2">
            <w:pPr>
              <w:pStyle w:val="TableText"/>
              <w:rPr>
                <w:rStyle w:val="Emphasis"/>
              </w:rPr>
            </w:pPr>
            <w:r w:rsidRPr="00934136">
              <w:rPr>
                <w:rStyle w:val="Emphasis"/>
              </w:rPr>
              <w:t>Retirement Villages Act 1986</w:t>
            </w:r>
          </w:p>
        </w:tc>
        <w:tc>
          <w:tcPr>
            <w:tcW w:w="5386" w:type="dxa"/>
          </w:tcPr>
          <w:p w14:paraId="424F5273" w14:textId="16DF514C" w:rsidR="00F532E2" w:rsidRPr="00934136" w:rsidRDefault="00F532E2" w:rsidP="00F532E2">
            <w:pPr>
              <w:pStyle w:val="TableText"/>
            </w:pPr>
            <w:r w:rsidRPr="00934136">
              <w:t>DCAV v Paparone Nominees &amp; Ors</w:t>
            </w:r>
          </w:p>
        </w:tc>
      </w:tr>
      <w:tr w:rsidR="00F532E2" w:rsidRPr="00934136" w14:paraId="14139C16" w14:textId="77777777" w:rsidTr="00344571">
        <w:trPr>
          <w:trHeight w:val="60"/>
        </w:trPr>
        <w:tc>
          <w:tcPr>
            <w:tcW w:w="3686" w:type="dxa"/>
          </w:tcPr>
          <w:p w14:paraId="3B09F62C" w14:textId="11CB5273" w:rsidR="00F532E2" w:rsidRPr="00934136" w:rsidRDefault="00F532E2" w:rsidP="00F532E2">
            <w:pPr>
              <w:pStyle w:val="TableText"/>
              <w:rPr>
                <w:rStyle w:val="Emphasis"/>
              </w:rPr>
            </w:pPr>
            <w:r w:rsidRPr="00934136">
              <w:rPr>
                <w:rStyle w:val="Emphasis"/>
              </w:rPr>
              <w:t>Estate Agents Act 1980</w:t>
            </w:r>
          </w:p>
        </w:tc>
        <w:tc>
          <w:tcPr>
            <w:tcW w:w="5386" w:type="dxa"/>
          </w:tcPr>
          <w:p w14:paraId="0835D406" w14:textId="4A9D3A50" w:rsidR="00F532E2" w:rsidRPr="00934136" w:rsidRDefault="00F532E2" w:rsidP="00F532E2">
            <w:pPr>
              <w:pStyle w:val="TableText"/>
            </w:pPr>
            <w:r w:rsidRPr="00934136">
              <w:t>DCAV v Builders Property Direct Pty Ltd</w:t>
            </w:r>
          </w:p>
        </w:tc>
      </w:tr>
      <w:tr w:rsidR="00F532E2" w:rsidRPr="00934136" w14:paraId="19EFFBA0" w14:textId="77777777" w:rsidTr="00344571">
        <w:trPr>
          <w:trHeight w:val="60"/>
        </w:trPr>
        <w:tc>
          <w:tcPr>
            <w:tcW w:w="3686" w:type="dxa"/>
          </w:tcPr>
          <w:p w14:paraId="4F57AA6B" w14:textId="2C49B9FF" w:rsidR="00F532E2" w:rsidRPr="00934136" w:rsidRDefault="00F532E2" w:rsidP="00F532E2">
            <w:pPr>
              <w:pStyle w:val="TableText"/>
              <w:rPr>
                <w:rStyle w:val="Emphasis"/>
              </w:rPr>
            </w:pPr>
            <w:r w:rsidRPr="00934136">
              <w:rPr>
                <w:rStyle w:val="Emphasis"/>
              </w:rPr>
              <w:t>Estate Agents Act 1980</w:t>
            </w:r>
          </w:p>
        </w:tc>
        <w:tc>
          <w:tcPr>
            <w:tcW w:w="5386" w:type="dxa"/>
          </w:tcPr>
          <w:p w14:paraId="7131AE13" w14:textId="1140C2F9" w:rsidR="00F532E2" w:rsidRPr="00934136" w:rsidRDefault="00F532E2" w:rsidP="00F532E2">
            <w:pPr>
              <w:pStyle w:val="TableText"/>
            </w:pPr>
            <w:r w:rsidRPr="00934136">
              <w:t>DCAV v Joshua Allison &amp; Josh Allison Enterprises Pty Ltd</w:t>
            </w:r>
          </w:p>
        </w:tc>
      </w:tr>
      <w:tr w:rsidR="00F532E2" w:rsidRPr="00934136" w14:paraId="2FB0944D" w14:textId="77777777" w:rsidTr="00344571">
        <w:trPr>
          <w:trHeight w:val="60"/>
        </w:trPr>
        <w:tc>
          <w:tcPr>
            <w:tcW w:w="3686" w:type="dxa"/>
          </w:tcPr>
          <w:p w14:paraId="2694F22F" w14:textId="4AB7142D" w:rsidR="00F532E2" w:rsidRPr="00934136" w:rsidRDefault="00F532E2" w:rsidP="00F532E2">
            <w:pPr>
              <w:pStyle w:val="TableText"/>
              <w:rPr>
                <w:rStyle w:val="Emphasis"/>
              </w:rPr>
            </w:pPr>
            <w:r w:rsidRPr="00934136">
              <w:rPr>
                <w:rStyle w:val="Emphasis"/>
              </w:rPr>
              <w:t>Estate Agents Act 1980</w:t>
            </w:r>
          </w:p>
        </w:tc>
        <w:tc>
          <w:tcPr>
            <w:tcW w:w="5386" w:type="dxa"/>
          </w:tcPr>
          <w:p w14:paraId="3B1BAC5F" w14:textId="0469AE46" w:rsidR="00F532E2" w:rsidRPr="00934136" w:rsidRDefault="00F532E2" w:rsidP="00F532E2">
            <w:pPr>
              <w:pStyle w:val="TableText"/>
            </w:pPr>
            <w:r w:rsidRPr="00934136">
              <w:t>DCAV v Eric Hans Richmond</w:t>
            </w:r>
          </w:p>
        </w:tc>
      </w:tr>
      <w:tr w:rsidR="00F532E2" w:rsidRPr="00934136" w14:paraId="66722914" w14:textId="77777777" w:rsidTr="00344571">
        <w:trPr>
          <w:trHeight w:val="60"/>
        </w:trPr>
        <w:tc>
          <w:tcPr>
            <w:tcW w:w="3686" w:type="dxa"/>
          </w:tcPr>
          <w:p w14:paraId="44530006" w14:textId="6C8DCD6C" w:rsidR="00F532E2" w:rsidRPr="00934136" w:rsidRDefault="00F532E2" w:rsidP="00F532E2">
            <w:pPr>
              <w:pStyle w:val="TableText"/>
              <w:rPr>
                <w:rStyle w:val="Emphasis"/>
              </w:rPr>
            </w:pPr>
            <w:r w:rsidRPr="00934136">
              <w:rPr>
                <w:rStyle w:val="Emphasis"/>
              </w:rPr>
              <w:t>Estate Agents Act 1980</w:t>
            </w:r>
          </w:p>
        </w:tc>
        <w:tc>
          <w:tcPr>
            <w:tcW w:w="5386" w:type="dxa"/>
          </w:tcPr>
          <w:p w14:paraId="3F34C4E4" w14:textId="654F5BD0" w:rsidR="00F532E2" w:rsidRPr="00934136" w:rsidRDefault="00F532E2" w:rsidP="00F532E2">
            <w:pPr>
              <w:pStyle w:val="TableText"/>
            </w:pPr>
            <w:r w:rsidRPr="00934136">
              <w:t>DCAV v Thomas Aloysius</w:t>
            </w:r>
          </w:p>
        </w:tc>
      </w:tr>
    </w:tbl>
    <w:p w14:paraId="554BD866" w14:textId="77777777" w:rsidR="006157B7" w:rsidRPr="006157B7" w:rsidRDefault="006157B7" w:rsidP="006157B7">
      <w:pPr>
        <w:pStyle w:val="BodyText"/>
      </w:pPr>
      <w:r w:rsidRPr="006157B7">
        <w:br w:type="page"/>
      </w:r>
    </w:p>
    <w:p w14:paraId="6CC4421F" w14:textId="21DA7875" w:rsidR="00F532E2" w:rsidRPr="00934136" w:rsidRDefault="00F532E2" w:rsidP="00F532E2">
      <w:pPr>
        <w:pStyle w:val="Heading4"/>
      </w:pPr>
      <w:r w:rsidRPr="00934136">
        <w:lastRenderedPageBreak/>
        <w:t>Table: Compliance, licensing and registration activity undertaken</w:t>
      </w:r>
    </w:p>
    <w:tbl>
      <w:tblPr>
        <w:tblStyle w:val="TableGrid"/>
        <w:tblW w:w="9072" w:type="dxa"/>
        <w:tblLayout w:type="fixed"/>
        <w:tblLook w:val="06A0" w:firstRow="1" w:lastRow="0" w:firstColumn="1" w:lastColumn="0" w:noHBand="1" w:noVBand="1"/>
      </w:tblPr>
      <w:tblGrid>
        <w:gridCol w:w="4989"/>
        <w:gridCol w:w="1361"/>
        <w:gridCol w:w="1361"/>
        <w:gridCol w:w="1361"/>
      </w:tblGrid>
      <w:tr w:rsidR="00F532E2" w:rsidRPr="00934136" w14:paraId="6583E1B0" w14:textId="77777777" w:rsidTr="00A80A93">
        <w:trPr>
          <w:cnfStyle w:val="100000000000" w:firstRow="1" w:lastRow="0" w:firstColumn="0" w:lastColumn="0" w:oddVBand="0" w:evenVBand="0" w:oddHBand="0" w:evenHBand="0" w:firstRowFirstColumn="0" w:firstRowLastColumn="0" w:lastRowFirstColumn="0" w:lastRowLastColumn="0"/>
          <w:trHeight w:val="289"/>
          <w:tblHeader/>
        </w:trPr>
        <w:tc>
          <w:tcPr>
            <w:tcW w:w="4990" w:type="dxa"/>
          </w:tcPr>
          <w:p w14:paraId="08F46A8F" w14:textId="77777777" w:rsidR="00F532E2" w:rsidRPr="00934136" w:rsidRDefault="00F532E2" w:rsidP="00F532E2">
            <w:pPr>
              <w:pStyle w:val="TableColHead"/>
            </w:pPr>
          </w:p>
        </w:tc>
        <w:tc>
          <w:tcPr>
            <w:tcW w:w="1361" w:type="dxa"/>
          </w:tcPr>
          <w:p w14:paraId="23A8A24E" w14:textId="20F5BE11" w:rsidR="00F532E2" w:rsidRPr="00934136" w:rsidRDefault="00F532E2" w:rsidP="00F532E2">
            <w:pPr>
              <w:pStyle w:val="TableColHeadRight"/>
            </w:pPr>
            <w:r w:rsidRPr="00934136">
              <w:t>2021–22</w:t>
            </w:r>
          </w:p>
        </w:tc>
        <w:tc>
          <w:tcPr>
            <w:tcW w:w="1361" w:type="dxa"/>
          </w:tcPr>
          <w:p w14:paraId="17674036" w14:textId="4405608C" w:rsidR="00F532E2" w:rsidRPr="00934136" w:rsidRDefault="00F532E2" w:rsidP="00F532E2">
            <w:pPr>
              <w:pStyle w:val="TableColHeadRight"/>
            </w:pPr>
            <w:r w:rsidRPr="00934136">
              <w:t>2022–23</w:t>
            </w:r>
          </w:p>
        </w:tc>
        <w:tc>
          <w:tcPr>
            <w:tcW w:w="1361" w:type="dxa"/>
          </w:tcPr>
          <w:p w14:paraId="6F172218" w14:textId="7A305DA6" w:rsidR="00F532E2" w:rsidRPr="00934136" w:rsidRDefault="00F532E2" w:rsidP="00F532E2">
            <w:pPr>
              <w:pStyle w:val="TableColHeadRight"/>
            </w:pPr>
            <w:r w:rsidRPr="00934136">
              <w:t>2023–24</w:t>
            </w:r>
          </w:p>
        </w:tc>
      </w:tr>
      <w:tr w:rsidR="005D12F7" w:rsidRPr="00934136" w14:paraId="3B9A4130" w14:textId="77777777" w:rsidTr="00A80A93">
        <w:trPr>
          <w:trHeight w:val="283"/>
        </w:trPr>
        <w:tc>
          <w:tcPr>
            <w:tcW w:w="4990" w:type="dxa"/>
            <w:gridSpan w:val="4"/>
            <w:shd w:val="clear" w:color="auto" w:fill="BCCAE5"/>
          </w:tcPr>
          <w:p w14:paraId="0F75F73B" w14:textId="77777777" w:rsidR="005D12F7" w:rsidRPr="00934136" w:rsidRDefault="005D12F7" w:rsidP="00344571">
            <w:pPr>
              <w:pStyle w:val="TableTextBold"/>
            </w:pPr>
            <w:r w:rsidRPr="00934136">
              <w:t>Compliance</w:t>
            </w:r>
          </w:p>
        </w:tc>
      </w:tr>
      <w:tr w:rsidR="00F532E2" w:rsidRPr="00934136" w14:paraId="32B9529B" w14:textId="77777777" w:rsidTr="00A80A93">
        <w:trPr>
          <w:trHeight w:val="283"/>
        </w:trPr>
        <w:tc>
          <w:tcPr>
            <w:tcW w:w="4990" w:type="dxa"/>
          </w:tcPr>
          <w:p w14:paraId="27C3B577" w14:textId="6DE44B9A" w:rsidR="00F532E2" w:rsidRPr="00934136" w:rsidRDefault="00F532E2" w:rsidP="00F532E2">
            <w:pPr>
              <w:pStyle w:val="TableText"/>
            </w:pPr>
            <w:r w:rsidRPr="00934136">
              <w:t>Inspections</w:t>
            </w:r>
          </w:p>
        </w:tc>
        <w:tc>
          <w:tcPr>
            <w:tcW w:w="1361" w:type="dxa"/>
          </w:tcPr>
          <w:p w14:paraId="1A1566B5" w14:textId="179BEEF8" w:rsidR="00F532E2" w:rsidRPr="00934136" w:rsidRDefault="00F532E2" w:rsidP="00F532E2">
            <w:pPr>
              <w:pStyle w:val="TableTextRight"/>
            </w:pPr>
            <w:r w:rsidRPr="00934136">
              <w:t>1,009</w:t>
            </w:r>
          </w:p>
        </w:tc>
        <w:tc>
          <w:tcPr>
            <w:tcW w:w="1361" w:type="dxa"/>
          </w:tcPr>
          <w:p w14:paraId="4211E460" w14:textId="767DB87F" w:rsidR="00F532E2" w:rsidRPr="00934136" w:rsidRDefault="00F532E2" w:rsidP="00F532E2">
            <w:pPr>
              <w:pStyle w:val="TableTextRight"/>
            </w:pPr>
            <w:r w:rsidRPr="00934136">
              <w:t>897</w:t>
            </w:r>
            <w:r w:rsidR="00D65A12">
              <w:rPr>
                <w:rStyle w:val="FootnoteReference"/>
              </w:rPr>
              <w:footnoteReference w:id="9"/>
            </w:r>
          </w:p>
        </w:tc>
        <w:tc>
          <w:tcPr>
            <w:tcW w:w="1361" w:type="dxa"/>
          </w:tcPr>
          <w:p w14:paraId="437320AD" w14:textId="18A01537" w:rsidR="00F532E2" w:rsidRPr="00934136" w:rsidRDefault="00F532E2" w:rsidP="00F532E2">
            <w:pPr>
              <w:pStyle w:val="TableTextRight"/>
            </w:pPr>
            <w:r w:rsidRPr="00934136">
              <w:t>1,434</w:t>
            </w:r>
          </w:p>
        </w:tc>
      </w:tr>
      <w:tr w:rsidR="00F532E2" w:rsidRPr="00934136" w14:paraId="2AFB3B05" w14:textId="77777777" w:rsidTr="00A80A93">
        <w:trPr>
          <w:trHeight w:val="283"/>
        </w:trPr>
        <w:tc>
          <w:tcPr>
            <w:tcW w:w="4990" w:type="dxa"/>
          </w:tcPr>
          <w:p w14:paraId="0AA2E246" w14:textId="3FED6A71" w:rsidR="00F532E2" w:rsidRPr="00934136" w:rsidRDefault="00F532E2" w:rsidP="00F532E2">
            <w:pPr>
              <w:pStyle w:val="TableText"/>
            </w:pPr>
            <w:r w:rsidRPr="00934136">
              <w:t>Investigations</w:t>
            </w:r>
          </w:p>
        </w:tc>
        <w:tc>
          <w:tcPr>
            <w:tcW w:w="1361" w:type="dxa"/>
          </w:tcPr>
          <w:p w14:paraId="25CF425E" w14:textId="6D1ED83C" w:rsidR="00F532E2" w:rsidRPr="00934136" w:rsidRDefault="00F532E2" w:rsidP="00F532E2">
            <w:pPr>
              <w:pStyle w:val="TableTextRight"/>
            </w:pPr>
            <w:r w:rsidRPr="00934136">
              <w:t>42</w:t>
            </w:r>
          </w:p>
        </w:tc>
        <w:tc>
          <w:tcPr>
            <w:tcW w:w="1361" w:type="dxa"/>
          </w:tcPr>
          <w:p w14:paraId="1B31C6B3" w14:textId="4CC779DA" w:rsidR="00F532E2" w:rsidRPr="00934136" w:rsidRDefault="00F532E2" w:rsidP="00F532E2">
            <w:pPr>
              <w:pStyle w:val="TableTextRight"/>
            </w:pPr>
            <w:r w:rsidRPr="00934136">
              <w:t>29</w:t>
            </w:r>
          </w:p>
        </w:tc>
        <w:tc>
          <w:tcPr>
            <w:tcW w:w="1361" w:type="dxa"/>
          </w:tcPr>
          <w:p w14:paraId="5FA07D7E" w14:textId="11CC8B7C" w:rsidR="00F532E2" w:rsidRPr="00934136" w:rsidRDefault="00F532E2" w:rsidP="00F532E2">
            <w:pPr>
              <w:pStyle w:val="TableTextRight"/>
            </w:pPr>
            <w:r w:rsidRPr="00934136">
              <w:t>74</w:t>
            </w:r>
          </w:p>
        </w:tc>
      </w:tr>
      <w:tr w:rsidR="00F532E2" w:rsidRPr="00934136" w14:paraId="6958C3AC" w14:textId="77777777" w:rsidTr="00A80A93">
        <w:trPr>
          <w:trHeight w:val="283"/>
        </w:trPr>
        <w:tc>
          <w:tcPr>
            <w:tcW w:w="4990" w:type="dxa"/>
          </w:tcPr>
          <w:p w14:paraId="0313E60B" w14:textId="4E31F126" w:rsidR="00F532E2" w:rsidRPr="00934136" w:rsidRDefault="00F532E2" w:rsidP="00F532E2">
            <w:pPr>
              <w:pStyle w:val="TableText"/>
            </w:pPr>
            <w:r w:rsidRPr="00934136">
              <w:t>Parties to criminal proceedings, appeals and re-hearings</w:t>
            </w:r>
          </w:p>
        </w:tc>
        <w:tc>
          <w:tcPr>
            <w:tcW w:w="1361" w:type="dxa"/>
          </w:tcPr>
          <w:p w14:paraId="2D6CE274" w14:textId="460BB394" w:rsidR="00F532E2" w:rsidRPr="00934136" w:rsidRDefault="00F532E2" w:rsidP="00F532E2">
            <w:pPr>
              <w:pStyle w:val="TableTextRight"/>
            </w:pPr>
            <w:r w:rsidRPr="00934136">
              <w:t>8</w:t>
            </w:r>
          </w:p>
        </w:tc>
        <w:tc>
          <w:tcPr>
            <w:tcW w:w="1361" w:type="dxa"/>
          </w:tcPr>
          <w:p w14:paraId="4538474C" w14:textId="575B37B5" w:rsidR="00F532E2" w:rsidRPr="00934136" w:rsidRDefault="00F532E2" w:rsidP="00F532E2">
            <w:pPr>
              <w:pStyle w:val="TableTextRight"/>
            </w:pPr>
            <w:r w:rsidRPr="00934136">
              <w:t>4</w:t>
            </w:r>
          </w:p>
        </w:tc>
        <w:tc>
          <w:tcPr>
            <w:tcW w:w="1361" w:type="dxa"/>
          </w:tcPr>
          <w:p w14:paraId="1B140035" w14:textId="43BB102C" w:rsidR="00F532E2" w:rsidRPr="00934136" w:rsidRDefault="00CC5298" w:rsidP="00F532E2">
            <w:pPr>
              <w:pStyle w:val="TableTextRight"/>
            </w:pPr>
            <w:r>
              <w:t>5</w:t>
            </w:r>
          </w:p>
        </w:tc>
      </w:tr>
      <w:tr w:rsidR="00F532E2" w:rsidRPr="00934136" w14:paraId="3C7C9A5C" w14:textId="77777777" w:rsidTr="00A80A93">
        <w:trPr>
          <w:trHeight w:val="283"/>
        </w:trPr>
        <w:tc>
          <w:tcPr>
            <w:tcW w:w="4990" w:type="dxa"/>
          </w:tcPr>
          <w:p w14:paraId="0D579633" w14:textId="11326639" w:rsidR="00F532E2" w:rsidRPr="00934136" w:rsidRDefault="00F532E2" w:rsidP="00F532E2">
            <w:pPr>
              <w:pStyle w:val="TableText"/>
            </w:pPr>
            <w:r w:rsidRPr="00934136">
              <w:t>Parties to civil proceedings</w:t>
            </w:r>
          </w:p>
        </w:tc>
        <w:tc>
          <w:tcPr>
            <w:tcW w:w="1361" w:type="dxa"/>
          </w:tcPr>
          <w:p w14:paraId="7429C78A" w14:textId="68C2BA0A" w:rsidR="00F532E2" w:rsidRPr="00934136" w:rsidRDefault="00F532E2" w:rsidP="00F532E2">
            <w:pPr>
              <w:pStyle w:val="TableTextRight"/>
            </w:pPr>
            <w:r w:rsidRPr="00934136">
              <w:t>5</w:t>
            </w:r>
          </w:p>
        </w:tc>
        <w:tc>
          <w:tcPr>
            <w:tcW w:w="1361" w:type="dxa"/>
          </w:tcPr>
          <w:p w14:paraId="01D8EF00" w14:textId="5B1D4E7D" w:rsidR="00F532E2" w:rsidRPr="00934136" w:rsidRDefault="00F532E2" w:rsidP="00F532E2">
            <w:pPr>
              <w:pStyle w:val="TableTextRight"/>
            </w:pPr>
            <w:r w:rsidRPr="00934136">
              <w:t>5</w:t>
            </w:r>
          </w:p>
        </w:tc>
        <w:tc>
          <w:tcPr>
            <w:tcW w:w="1361" w:type="dxa"/>
          </w:tcPr>
          <w:p w14:paraId="7A557BD5" w14:textId="0DE59F7D" w:rsidR="00F532E2" w:rsidRPr="00934136" w:rsidRDefault="00CC5298" w:rsidP="00F532E2">
            <w:pPr>
              <w:pStyle w:val="TableTextRight"/>
            </w:pPr>
            <w:r>
              <w:t>6</w:t>
            </w:r>
          </w:p>
        </w:tc>
      </w:tr>
      <w:tr w:rsidR="00F532E2" w:rsidRPr="00934136" w14:paraId="64D2D1E0" w14:textId="77777777" w:rsidTr="00A80A93">
        <w:trPr>
          <w:trHeight w:val="283"/>
        </w:trPr>
        <w:tc>
          <w:tcPr>
            <w:tcW w:w="4990" w:type="dxa"/>
          </w:tcPr>
          <w:p w14:paraId="133A8F45" w14:textId="1D842D08" w:rsidR="00F532E2" w:rsidRPr="00934136" w:rsidRDefault="00F532E2" w:rsidP="00F532E2">
            <w:pPr>
              <w:pStyle w:val="TableText"/>
            </w:pPr>
            <w:r w:rsidRPr="00934136">
              <w:t>Parties signed to enforceable undertakings</w:t>
            </w:r>
          </w:p>
        </w:tc>
        <w:tc>
          <w:tcPr>
            <w:tcW w:w="1361" w:type="dxa"/>
          </w:tcPr>
          <w:p w14:paraId="4897075C" w14:textId="589C329C" w:rsidR="00F532E2" w:rsidRPr="00934136" w:rsidRDefault="00F532E2" w:rsidP="00F532E2">
            <w:pPr>
              <w:pStyle w:val="TableTextRight"/>
            </w:pPr>
            <w:r w:rsidRPr="00934136">
              <w:t>2</w:t>
            </w:r>
          </w:p>
        </w:tc>
        <w:tc>
          <w:tcPr>
            <w:tcW w:w="1361" w:type="dxa"/>
          </w:tcPr>
          <w:p w14:paraId="65021E39" w14:textId="0DB7161F" w:rsidR="00F532E2" w:rsidRPr="00934136" w:rsidRDefault="00F532E2" w:rsidP="00F532E2">
            <w:pPr>
              <w:pStyle w:val="TableTextRight"/>
            </w:pPr>
            <w:r w:rsidRPr="00934136">
              <w:t>0</w:t>
            </w:r>
          </w:p>
        </w:tc>
        <w:tc>
          <w:tcPr>
            <w:tcW w:w="1361" w:type="dxa"/>
          </w:tcPr>
          <w:p w14:paraId="1D4E6DB1" w14:textId="5E8156F3" w:rsidR="00F532E2" w:rsidRPr="00934136" w:rsidRDefault="00F532E2" w:rsidP="00F532E2">
            <w:pPr>
              <w:pStyle w:val="TableTextRight"/>
            </w:pPr>
            <w:r w:rsidRPr="00934136">
              <w:t>1</w:t>
            </w:r>
          </w:p>
        </w:tc>
      </w:tr>
      <w:tr w:rsidR="00F532E2" w:rsidRPr="00934136" w14:paraId="0898FAA0" w14:textId="77777777" w:rsidTr="00A80A93">
        <w:trPr>
          <w:trHeight w:val="283"/>
        </w:trPr>
        <w:tc>
          <w:tcPr>
            <w:tcW w:w="4990" w:type="dxa"/>
          </w:tcPr>
          <w:p w14:paraId="3FF0A6EA" w14:textId="22F196A6" w:rsidR="00F532E2" w:rsidRPr="00934136" w:rsidRDefault="00F532E2" w:rsidP="00F532E2">
            <w:pPr>
              <w:pStyle w:val="TableText"/>
            </w:pPr>
            <w:r w:rsidRPr="00934136">
              <w:t>Official warnings and infringement notices issues</w:t>
            </w:r>
          </w:p>
        </w:tc>
        <w:tc>
          <w:tcPr>
            <w:tcW w:w="1361" w:type="dxa"/>
          </w:tcPr>
          <w:p w14:paraId="0E4048A9" w14:textId="292D2723" w:rsidR="00F532E2" w:rsidRPr="00934136" w:rsidRDefault="00F532E2" w:rsidP="00F532E2">
            <w:pPr>
              <w:pStyle w:val="TableTextRight"/>
            </w:pPr>
            <w:r w:rsidRPr="00934136">
              <w:t>603</w:t>
            </w:r>
          </w:p>
        </w:tc>
        <w:tc>
          <w:tcPr>
            <w:tcW w:w="1361" w:type="dxa"/>
          </w:tcPr>
          <w:p w14:paraId="53303337" w14:textId="44433278" w:rsidR="00F532E2" w:rsidRPr="00934136" w:rsidRDefault="00F532E2" w:rsidP="00F532E2">
            <w:pPr>
              <w:pStyle w:val="TableTextRight"/>
            </w:pPr>
            <w:r w:rsidRPr="00934136">
              <w:t>434</w:t>
            </w:r>
          </w:p>
        </w:tc>
        <w:tc>
          <w:tcPr>
            <w:tcW w:w="1361" w:type="dxa"/>
          </w:tcPr>
          <w:p w14:paraId="7B29AB2E" w14:textId="60F40DBE" w:rsidR="00F532E2" w:rsidRPr="00934136" w:rsidRDefault="00F532E2" w:rsidP="00F532E2">
            <w:pPr>
              <w:pStyle w:val="TableTextRight"/>
            </w:pPr>
            <w:r w:rsidRPr="00934136">
              <w:t>876</w:t>
            </w:r>
          </w:p>
        </w:tc>
      </w:tr>
      <w:tr w:rsidR="00F532E2" w:rsidRPr="00934136" w14:paraId="1FC58917" w14:textId="77777777" w:rsidTr="00A80A93">
        <w:trPr>
          <w:trHeight w:val="283"/>
        </w:trPr>
        <w:tc>
          <w:tcPr>
            <w:tcW w:w="4990" w:type="dxa"/>
          </w:tcPr>
          <w:p w14:paraId="1695AF64" w14:textId="0DC01E4C" w:rsidR="00F532E2" w:rsidRPr="00934136" w:rsidRDefault="00F532E2" w:rsidP="00F532E2">
            <w:pPr>
              <w:pStyle w:val="TableText"/>
            </w:pPr>
            <w:r w:rsidRPr="00934136">
              <w:t>Public warnings and public statements issued</w:t>
            </w:r>
          </w:p>
        </w:tc>
        <w:tc>
          <w:tcPr>
            <w:tcW w:w="1361" w:type="dxa"/>
          </w:tcPr>
          <w:p w14:paraId="07765A43" w14:textId="1E570F25" w:rsidR="00F532E2" w:rsidRPr="00934136" w:rsidRDefault="00F532E2" w:rsidP="00F532E2">
            <w:pPr>
              <w:pStyle w:val="TableTextRight"/>
            </w:pPr>
            <w:r w:rsidRPr="00934136">
              <w:t>1</w:t>
            </w:r>
          </w:p>
        </w:tc>
        <w:tc>
          <w:tcPr>
            <w:tcW w:w="1361" w:type="dxa"/>
          </w:tcPr>
          <w:p w14:paraId="62716207" w14:textId="0CECC780" w:rsidR="00F532E2" w:rsidRPr="00934136" w:rsidRDefault="00F532E2" w:rsidP="00F532E2">
            <w:pPr>
              <w:pStyle w:val="TableTextRight"/>
            </w:pPr>
            <w:r w:rsidRPr="00934136">
              <w:t>2</w:t>
            </w:r>
          </w:p>
        </w:tc>
        <w:tc>
          <w:tcPr>
            <w:tcW w:w="1361" w:type="dxa"/>
          </w:tcPr>
          <w:p w14:paraId="32CA8E65" w14:textId="72AE30CB" w:rsidR="00F532E2" w:rsidRPr="00934136" w:rsidRDefault="00F532E2" w:rsidP="00F532E2">
            <w:pPr>
              <w:pStyle w:val="TableTextRight"/>
            </w:pPr>
            <w:r w:rsidRPr="00934136">
              <w:t>9</w:t>
            </w:r>
          </w:p>
        </w:tc>
      </w:tr>
      <w:tr w:rsidR="00F532E2" w:rsidRPr="00934136" w14:paraId="4F55BD56" w14:textId="77777777" w:rsidTr="00A80A93">
        <w:trPr>
          <w:trHeight w:val="283"/>
        </w:trPr>
        <w:tc>
          <w:tcPr>
            <w:tcW w:w="4990" w:type="dxa"/>
          </w:tcPr>
          <w:p w14:paraId="4B41F897" w14:textId="1F92DDE6" w:rsidR="00F532E2" w:rsidRPr="00934136" w:rsidRDefault="00F532E2" w:rsidP="00F532E2">
            <w:pPr>
              <w:pStyle w:val="TableText"/>
            </w:pPr>
            <w:r w:rsidRPr="00934136">
              <w:t>Rooming house inspections (including repeat visits)</w:t>
            </w:r>
          </w:p>
        </w:tc>
        <w:tc>
          <w:tcPr>
            <w:tcW w:w="1361" w:type="dxa"/>
          </w:tcPr>
          <w:p w14:paraId="3CEA9445" w14:textId="605787A9" w:rsidR="00F532E2" w:rsidRPr="00934136" w:rsidRDefault="00F532E2" w:rsidP="00F532E2">
            <w:pPr>
              <w:pStyle w:val="TableTextRight"/>
            </w:pPr>
            <w:r w:rsidRPr="00934136">
              <w:t>233</w:t>
            </w:r>
          </w:p>
        </w:tc>
        <w:tc>
          <w:tcPr>
            <w:tcW w:w="1361" w:type="dxa"/>
          </w:tcPr>
          <w:p w14:paraId="0E46E5A0" w14:textId="18FC46B3" w:rsidR="00F532E2" w:rsidRPr="00934136" w:rsidRDefault="00F532E2" w:rsidP="00F532E2">
            <w:pPr>
              <w:pStyle w:val="TableTextRight"/>
            </w:pPr>
            <w:r w:rsidRPr="00934136">
              <w:t>157</w:t>
            </w:r>
          </w:p>
        </w:tc>
        <w:tc>
          <w:tcPr>
            <w:tcW w:w="1361" w:type="dxa"/>
          </w:tcPr>
          <w:p w14:paraId="50E3D456" w14:textId="2130EE83" w:rsidR="00F532E2" w:rsidRPr="00934136" w:rsidRDefault="00F532E2" w:rsidP="00F532E2">
            <w:pPr>
              <w:pStyle w:val="TableTextRight"/>
            </w:pPr>
            <w:r w:rsidRPr="00934136">
              <w:t>296</w:t>
            </w:r>
          </w:p>
        </w:tc>
      </w:tr>
      <w:tr w:rsidR="00F532E2" w:rsidRPr="00934136" w14:paraId="6CCA185B" w14:textId="77777777" w:rsidTr="00A80A93">
        <w:trPr>
          <w:trHeight w:val="60"/>
        </w:trPr>
        <w:tc>
          <w:tcPr>
            <w:tcW w:w="4990" w:type="dxa"/>
          </w:tcPr>
          <w:p w14:paraId="06CA6F85" w14:textId="0505ABE9" w:rsidR="00F532E2" w:rsidRPr="00934136" w:rsidRDefault="00F532E2" w:rsidP="00F532E2">
            <w:pPr>
              <w:pStyle w:val="TableText"/>
            </w:pPr>
            <w:r w:rsidRPr="00934136">
              <w:t>Rooming houses registered</w:t>
            </w:r>
          </w:p>
        </w:tc>
        <w:tc>
          <w:tcPr>
            <w:tcW w:w="1361" w:type="dxa"/>
          </w:tcPr>
          <w:p w14:paraId="1F24FF6F" w14:textId="420B655E" w:rsidR="00F532E2" w:rsidRPr="00934136" w:rsidRDefault="00F532E2" w:rsidP="00F532E2">
            <w:pPr>
              <w:pStyle w:val="TableTextRight"/>
            </w:pPr>
            <w:r w:rsidRPr="00934136">
              <w:t>1,369</w:t>
            </w:r>
          </w:p>
        </w:tc>
        <w:tc>
          <w:tcPr>
            <w:tcW w:w="1361" w:type="dxa"/>
          </w:tcPr>
          <w:p w14:paraId="69680F0D" w14:textId="1018FCB1" w:rsidR="00F532E2" w:rsidRPr="00934136" w:rsidRDefault="00F532E2" w:rsidP="00F532E2">
            <w:pPr>
              <w:pStyle w:val="TableTextRight"/>
            </w:pPr>
            <w:r w:rsidRPr="00934136">
              <w:t>1,451</w:t>
            </w:r>
          </w:p>
        </w:tc>
        <w:tc>
          <w:tcPr>
            <w:tcW w:w="1361" w:type="dxa"/>
          </w:tcPr>
          <w:p w14:paraId="58165BBC" w14:textId="6758D4A2" w:rsidR="00F532E2" w:rsidRPr="00934136" w:rsidRDefault="00F532E2" w:rsidP="00F532E2">
            <w:pPr>
              <w:pStyle w:val="TableTextRight"/>
            </w:pPr>
            <w:r w:rsidRPr="00934136">
              <w:t>1,541</w:t>
            </w:r>
          </w:p>
        </w:tc>
      </w:tr>
      <w:tr w:rsidR="005D12F7" w:rsidRPr="00934136" w14:paraId="6C0AC5BA" w14:textId="77777777" w:rsidTr="00A80A93">
        <w:trPr>
          <w:trHeight w:val="60"/>
        </w:trPr>
        <w:tc>
          <w:tcPr>
            <w:tcW w:w="4990" w:type="dxa"/>
            <w:gridSpan w:val="4"/>
            <w:shd w:val="clear" w:color="auto" w:fill="BCCAE5"/>
          </w:tcPr>
          <w:p w14:paraId="20154BD4" w14:textId="4A38A632" w:rsidR="005D12F7" w:rsidRPr="00934136" w:rsidRDefault="00A80A93" w:rsidP="00344571">
            <w:pPr>
              <w:pStyle w:val="TableTextBold"/>
            </w:pPr>
            <w:r w:rsidRPr="00934136">
              <w:t>Transactions</w:t>
            </w:r>
          </w:p>
        </w:tc>
      </w:tr>
      <w:tr w:rsidR="00A80A93" w:rsidRPr="00934136" w14:paraId="21D86EC5" w14:textId="77777777" w:rsidTr="00A80A93">
        <w:trPr>
          <w:trHeight w:val="60"/>
        </w:trPr>
        <w:tc>
          <w:tcPr>
            <w:tcW w:w="4990" w:type="dxa"/>
          </w:tcPr>
          <w:p w14:paraId="745055DF" w14:textId="1FE05B88" w:rsidR="00A80A93" w:rsidRPr="00934136" w:rsidRDefault="00A80A93" w:rsidP="00A80A93">
            <w:pPr>
              <w:pStyle w:val="TableText"/>
            </w:pPr>
            <w:r w:rsidRPr="00934136">
              <w:t>Bonds lodged</w:t>
            </w:r>
          </w:p>
        </w:tc>
        <w:tc>
          <w:tcPr>
            <w:tcW w:w="1361" w:type="dxa"/>
          </w:tcPr>
          <w:p w14:paraId="48FB3C08" w14:textId="72867879" w:rsidR="00A80A93" w:rsidRPr="00934136" w:rsidRDefault="00A80A93" w:rsidP="00A80A93">
            <w:pPr>
              <w:pStyle w:val="TableTextRight"/>
            </w:pPr>
            <w:r w:rsidRPr="00934136">
              <w:t>259,479</w:t>
            </w:r>
          </w:p>
        </w:tc>
        <w:tc>
          <w:tcPr>
            <w:tcW w:w="1361" w:type="dxa"/>
          </w:tcPr>
          <w:p w14:paraId="693AC7A9" w14:textId="4BE8A7AE" w:rsidR="00A80A93" w:rsidRPr="00934136" w:rsidRDefault="00A80A93" w:rsidP="00A80A93">
            <w:pPr>
              <w:pStyle w:val="TableTextRight"/>
            </w:pPr>
            <w:r w:rsidRPr="00934136">
              <w:t>255,722</w:t>
            </w:r>
          </w:p>
        </w:tc>
        <w:tc>
          <w:tcPr>
            <w:tcW w:w="1361" w:type="dxa"/>
          </w:tcPr>
          <w:p w14:paraId="0F0A868C" w14:textId="350F1FA1" w:rsidR="00A80A93" w:rsidRPr="00934136" w:rsidRDefault="00A80A93" w:rsidP="00A80A93">
            <w:pPr>
              <w:pStyle w:val="TableTextRight"/>
            </w:pPr>
            <w:r w:rsidRPr="00934136">
              <w:t>245,744</w:t>
            </w:r>
          </w:p>
        </w:tc>
      </w:tr>
      <w:tr w:rsidR="00A80A93" w:rsidRPr="00934136" w14:paraId="4130E39B" w14:textId="77777777" w:rsidTr="00A80A93">
        <w:trPr>
          <w:trHeight w:val="60"/>
        </w:trPr>
        <w:tc>
          <w:tcPr>
            <w:tcW w:w="4990" w:type="dxa"/>
          </w:tcPr>
          <w:p w14:paraId="071E411B" w14:textId="668686C8" w:rsidR="00A80A93" w:rsidRPr="00934136" w:rsidRDefault="00A80A93" w:rsidP="00A80A93">
            <w:pPr>
              <w:pStyle w:val="TableText"/>
            </w:pPr>
            <w:r w:rsidRPr="00934136">
              <w:t>Bond repayments</w:t>
            </w:r>
          </w:p>
        </w:tc>
        <w:tc>
          <w:tcPr>
            <w:tcW w:w="1361" w:type="dxa"/>
          </w:tcPr>
          <w:p w14:paraId="2EB44B80" w14:textId="24BCBC61" w:rsidR="00A80A93" w:rsidRPr="00934136" w:rsidRDefault="00A80A93" w:rsidP="00A80A93">
            <w:pPr>
              <w:pStyle w:val="TableTextRight"/>
            </w:pPr>
            <w:r w:rsidRPr="00934136">
              <w:t>236,443</w:t>
            </w:r>
          </w:p>
        </w:tc>
        <w:tc>
          <w:tcPr>
            <w:tcW w:w="1361" w:type="dxa"/>
          </w:tcPr>
          <w:p w14:paraId="55C14B29" w14:textId="7779C664" w:rsidR="00A80A93" w:rsidRPr="00934136" w:rsidRDefault="00A80A93" w:rsidP="00A80A93">
            <w:pPr>
              <w:pStyle w:val="TableTextRight"/>
            </w:pPr>
            <w:r w:rsidRPr="00934136">
              <w:t>224,127</w:t>
            </w:r>
          </w:p>
        </w:tc>
        <w:tc>
          <w:tcPr>
            <w:tcW w:w="1361" w:type="dxa"/>
          </w:tcPr>
          <w:p w14:paraId="736D3FAE" w14:textId="0BAC3316" w:rsidR="00A80A93" w:rsidRPr="00934136" w:rsidRDefault="00A80A93" w:rsidP="00A80A93">
            <w:pPr>
              <w:pStyle w:val="TableTextRight"/>
            </w:pPr>
            <w:r w:rsidRPr="00934136">
              <w:t>252,036</w:t>
            </w:r>
          </w:p>
        </w:tc>
      </w:tr>
      <w:tr w:rsidR="00A80A93" w:rsidRPr="00934136" w14:paraId="04405BCE" w14:textId="77777777" w:rsidTr="00A80A93">
        <w:trPr>
          <w:trHeight w:val="60"/>
        </w:trPr>
        <w:tc>
          <w:tcPr>
            <w:tcW w:w="4990" w:type="dxa"/>
          </w:tcPr>
          <w:p w14:paraId="4872FEA0" w14:textId="4D3AF933" w:rsidR="00A80A93" w:rsidRPr="00934136" w:rsidRDefault="00A80A93" w:rsidP="00A80A93">
            <w:pPr>
              <w:pStyle w:val="TableText"/>
            </w:pPr>
            <w:r w:rsidRPr="00934136">
              <w:t>Bonds transferred</w:t>
            </w:r>
            <w:r w:rsidR="00B33F3A">
              <w:rPr>
                <w:rStyle w:val="FootnoteReference"/>
              </w:rPr>
              <w:footnoteReference w:id="10"/>
            </w:r>
          </w:p>
        </w:tc>
        <w:tc>
          <w:tcPr>
            <w:tcW w:w="1361" w:type="dxa"/>
          </w:tcPr>
          <w:p w14:paraId="7E9F2247" w14:textId="52DBBBDB" w:rsidR="00A80A93" w:rsidRPr="00934136" w:rsidRDefault="00AB2468" w:rsidP="00A80A93">
            <w:pPr>
              <w:pStyle w:val="TableTextRight"/>
            </w:pPr>
            <w:r w:rsidRPr="00AB2468">
              <w:t>89,880</w:t>
            </w:r>
          </w:p>
        </w:tc>
        <w:tc>
          <w:tcPr>
            <w:tcW w:w="1361" w:type="dxa"/>
          </w:tcPr>
          <w:p w14:paraId="39F2FC0C" w14:textId="244645D6" w:rsidR="00A80A93" w:rsidRPr="00934136" w:rsidRDefault="00A80A93" w:rsidP="00A80A93">
            <w:pPr>
              <w:pStyle w:val="TableTextRight"/>
            </w:pPr>
            <w:r w:rsidRPr="00934136">
              <w:t>100,445</w:t>
            </w:r>
          </w:p>
        </w:tc>
        <w:tc>
          <w:tcPr>
            <w:tcW w:w="1361" w:type="dxa"/>
          </w:tcPr>
          <w:p w14:paraId="39BC34BF" w14:textId="36F1FAC9" w:rsidR="00A80A93" w:rsidRPr="00934136" w:rsidRDefault="00A80A93" w:rsidP="00A80A93">
            <w:pPr>
              <w:pStyle w:val="TableTextRight"/>
            </w:pPr>
            <w:r w:rsidRPr="00934136">
              <w:t>120,006</w:t>
            </w:r>
          </w:p>
        </w:tc>
      </w:tr>
      <w:tr w:rsidR="00A80A93" w:rsidRPr="00934136" w14:paraId="26941CF7" w14:textId="77777777" w:rsidTr="00A80A93">
        <w:trPr>
          <w:trHeight w:val="60"/>
        </w:trPr>
        <w:tc>
          <w:tcPr>
            <w:tcW w:w="4990" w:type="dxa"/>
          </w:tcPr>
          <w:p w14:paraId="493DE47A" w14:textId="7C2EB4E7" w:rsidR="00A80A93" w:rsidRPr="00934136" w:rsidRDefault="00A80A93" w:rsidP="00A80A93">
            <w:pPr>
              <w:pStyle w:val="TableText"/>
            </w:pPr>
            <w:r w:rsidRPr="00934136">
              <w:t>Bonds held</w:t>
            </w:r>
          </w:p>
        </w:tc>
        <w:tc>
          <w:tcPr>
            <w:tcW w:w="1361" w:type="dxa"/>
          </w:tcPr>
          <w:p w14:paraId="6672FFF9" w14:textId="26DEF17D" w:rsidR="00A80A93" w:rsidRPr="00934136" w:rsidRDefault="00A80A93" w:rsidP="00A80A93">
            <w:pPr>
              <w:pStyle w:val="TableTextRight"/>
            </w:pPr>
            <w:r w:rsidRPr="00934136">
              <w:t>706,892</w:t>
            </w:r>
          </w:p>
        </w:tc>
        <w:tc>
          <w:tcPr>
            <w:tcW w:w="1361" w:type="dxa"/>
          </w:tcPr>
          <w:p w14:paraId="64D2E39F" w14:textId="51E30DB8" w:rsidR="00A80A93" w:rsidRPr="00934136" w:rsidRDefault="00A80A93" w:rsidP="00A80A93">
            <w:pPr>
              <w:pStyle w:val="TableTextRight"/>
            </w:pPr>
            <w:r w:rsidRPr="00934136">
              <w:t>738,414</w:t>
            </w:r>
          </w:p>
        </w:tc>
        <w:tc>
          <w:tcPr>
            <w:tcW w:w="1361" w:type="dxa"/>
          </w:tcPr>
          <w:p w14:paraId="097347BF" w14:textId="0E92265C" w:rsidR="00A80A93" w:rsidRPr="00934136" w:rsidRDefault="00A80A93" w:rsidP="00A80A93">
            <w:pPr>
              <w:pStyle w:val="TableTextRight"/>
            </w:pPr>
            <w:r w:rsidRPr="00934136">
              <w:t>732,125</w:t>
            </w:r>
          </w:p>
        </w:tc>
      </w:tr>
      <w:tr w:rsidR="00A80A93" w:rsidRPr="00934136" w14:paraId="2B1D8BE2" w14:textId="77777777" w:rsidTr="00A80A93">
        <w:trPr>
          <w:trHeight w:val="60"/>
        </w:trPr>
        <w:tc>
          <w:tcPr>
            <w:tcW w:w="4990" w:type="dxa"/>
          </w:tcPr>
          <w:p w14:paraId="5ED4C3B9" w14:textId="17D65B16" w:rsidR="00A80A93" w:rsidRPr="00934136" w:rsidRDefault="00A80A93" w:rsidP="00A80A93">
            <w:pPr>
              <w:pStyle w:val="TableText"/>
            </w:pPr>
            <w:r w:rsidRPr="00934136">
              <w:t>Value held</w:t>
            </w:r>
          </w:p>
        </w:tc>
        <w:tc>
          <w:tcPr>
            <w:tcW w:w="1361" w:type="dxa"/>
          </w:tcPr>
          <w:p w14:paraId="236580FA" w14:textId="15710F4C" w:rsidR="00A80A93" w:rsidRPr="00934136" w:rsidRDefault="00A80A93" w:rsidP="00A80A93">
            <w:pPr>
              <w:pStyle w:val="TableTextRight"/>
            </w:pPr>
            <w:r w:rsidRPr="00934136">
              <w:t>$1.27 billion</w:t>
            </w:r>
          </w:p>
        </w:tc>
        <w:tc>
          <w:tcPr>
            <w:tcW w:w="1361" w:type="dxa"/>
          </w:tcPr>
          <w:p w14:paraId="0811B876" w14:textId="2D6481D8" w:rsidR="00A80A93" w:rsidRPr="00934136" w:rsidRDefault="00A80A93" w:rsidP="00A80A93">
            <w:pPr>
              <w:pStyle w:val="TableTextRight"/>
            </w:pPr>
            <w:r w:rsidRPr="00934136">
              <w:t>$1.38 billion</w:t>
            </w:r>
          </w:p>
        </w:tc>
        <w:tc>
          <w:tcPr>
            <w:tcW w:w="1361" w:type="dxa"/>
          </w:tcPr>
          <w:p w14:paraId="2ADE3ED7" w14:textId="03D60DE5" w:rsidR="00A80A93" w:rsidRPr="00934136" w:rsidRDefault="00A80A93" w:rsidP="00A80A93">
            <w:pPr>
              <w:pStyle w:val="TableTextRight"/>
            </w:pPr>
            <w:r w:rsidRPr="00934136">
              <w:t>$1.46 billion</w:t>
            </w:r>
          </w:p>
        </w:tc>
      </w:tr>
      <w:tr w:rsidR="00A80A93" w:rsidRPr="00934136" w14:paraId="2E1D2E69" w14:textId="77777777" w:rsidTr="00A80A93">
        <w:trPr>
          <w:trHeight w:val="60"/>
        </w:trPr>
        <w:tc>
          <w:tcPr>
            <w:tcW w:w="4990" w:type="dxa"/>
            <w:gridSpan w:val="4"/>
            <w:shd w:val="clear" w:color="auto" w:fill="BCCAE5"/>
          </w:tcPr>
          <w:p w14:paraId="37901909" w14:textId="77777777" w:rsidR="00A80A93" w:rsidRPr="00934136" w:rsidRDefault="00A80A93" w:rsidP="00344571">
            <w:pPr>
              <w:pStyle w:val="TableTextBold"/>
            </w:pPr>
            <w:r w:rsidRPr="00934136">
              <w:t>Registration and licensing</w:t>
            </w:r>
          </w:p>
        </w:tc>
      </w:tr>
      <w:tr w:rsidR="00A80A93" w:rsidRPr="00934136" w14:paraId="68249E68" w14:textId="77777777" w:rsidTr="00A80A93">
        <w:trPr>
          <w:trHeight w:val="60"/>
        </w:trPr>
        <w:tc>
          <w:tcPr>
            <w:tcW w:w="4990" w:type="dxa"/>
          </w:tcPr>
          <w:p w14:paraId="5D7D9277" w14:textId="4314B551" w:rsidR="00A80A93" w:rsidRPr="00934136" w:rsidRDefault="00A80A93" w:rsidP="00A80A93">
            <w:pPr>
              <w:pStyle w:val="TableText"/>
            </w:pPr>
            <w:r w:rsidRPr="00934136">
              <w:t>Annual returns, updates or cancellations processed for incorporated associations, fundraisers, and co-operatives</w:t>
            </w:r>
          </w:p>
        </w:tc>
        <w:tc>
          <w:tcPr>
            <w:tcW w:w="1361" w:type="dxa"/>
          </w:tcPr>
          <w:p w14:paraId="3568B52D" w14:textId="26072A4A" w:rsidR="00A80A93" w:rsidRPr="00934136" w:rsidRDefault="00A80A93" w:rsidP="00A80A93">
            <w:pPr>
              <w:pStyle w:val="TableTextRight"/>
            </w:pPr>
            <w:r w:rsidRPr="00934136">
              <w:t>49,108</w:t>
            </w:r>
          </w:p>
        </w:tc>
        <w:tc>
          <w:tcPr>
            <w:tcW w:w="1361" w:type="dxa"/>
          </w:tcPr>
          <w:p w14:paraId="0CFB3FF0" w14:textId="7BEE2A67" w:rsidR="00A80A93" w:rsidRPr="00934136" w:rsidRDefault="00A80A93" w:rsidP="00A80A93">
            <w:pPr>
              <w:pStyle w:val="TableTextRight"/>
            </w:pPr>
            <w:r w:rsidRPr="00934136">
              <w:t>50,532</w:t>
            </w:r>
          </w:p>
        </w:tc>
        <w:tc>
          <w:tcPr>
            <w:tcW w:w="1361" w:type="dxa"/>
          </w:tcPr>
          <w:p w14:paraId="1DD0A3B2" w14:textId="7ADDA33B" w:rsidR="00A80A93" w:rsidRPr="00934136" w:rsidRDefault="00A80A93" w:rsidP="00A80A93">
            <w:pPr>
              <w:pStyle w:val="TableTextRight"/>
            </w:pPr>
            <w:r w:rsidRPr="00934136">
              <w:t>50,793</w:t>
            </w:r>
          </w:p>
        </w:tc>
      </w:tr>
      <w:tr w:rsidR="00A80A93" w:rsidRPr="00934136" w14:paraId="121ACF4E" w14:textId="77777777" w:rsidTr="00A80A93">
        <w:trPr>
          <w:trHeight w:val="60"/>
        </w:trPr>
        <w:tc>
          <w:tcPr>
            <w:tcW w:w="4990" w:type="dxa"/>
          </w:tcPr>
          <w:p w14:paraId="7371AB41" w14:textId="23CC0B57" w:rsidR="00A80A93" w:rsidRPr="00934136" w:rsidRDefault="00A80A93" w:rsidP="00A80A93">
            <w:pPr>
              <w:pStyle w:val="TableText"/>
            </w:pPr>
            <w:r w:rsidRPr="00934136">
              <w:t>Total registration and licensing transactions</w:t>
            </w:r>
          </w:p>
        </w:tc>
        <w:tc>
          <w:tcPr>
            <w:tcW w:w="1361" w:type="dxa"/>
          </w:tcPr>
          <w:p w14:paraId="6AC3D9BE" w14:textId="65DBDAA6" w:rsidR="00A80A93" w:rsidRPr="00934136" w:rsidRDefault="00A80A93" w:rsidP="00A80A93">
            <w:pPr>
              <w:pStyle w:val="TableTextRight"/>
            </w:pPr>
            <w:r w:rsidRPr="00934136">
              <w:t>100,711</w:t>
            </w:r>
          </w:p>
        </w:tc>
        <w:tc>
          <w:tcPr>
            <w:tcW w:w="1361" w:type="dxa"/>
          </w:tcPr>
          <w:p w14:paraId="7685350C" w14:textId="3E600E89" w:rsidR="00A80A93" w:rsidRPr="00934136" w:rsidRDefault="00A80A93" w:rsidP="00A80A93">
            <w:pPr>
              <w:pStyle w:val="TableTextRight"/>
            </w:pPr>
            <w:r w:rsidRPr="00934136">
              <w:t>106,065</w:t>
            </w:r>
          </w:p>
        </w:tc>
        <w:tc>
          <w:tcPr>
            <w:tcW w:w="1361" w:type="dxa"/>
          </w:tcPr>
          <w:p w14:paraId="6F510431" w14:textId="061A7DC2" w:rsidR="00A80A93" w:rsidRPr="00934136" w:rsidRDefault="00A80A93" w:rsidP="00A80A93">
            <w:pPr>
              <w:pStyle w:val="TableTextRight"/>
            </w:pPr>
            <w:r w:rsidRPr="00934136">
              <w:t>107,943</w:t>
            </w:r>
          </w:p>
        </w:tc>
      </w:tr>
    </w:tbl>
    <w:p w14:paraId="609938F4" w14:textId="77777777" w:rsidR="00A80A93" w:rsidRPr="00934136" w:rsidRDefault="00A80A93" w:rsidP="00A80A93">
      <w:pPr>
        <w:pStyle w:val="BodyText"/>
      </w:pPr>
      <w:r w:rsidRPr="00934136">
        <w:br w:type="page"/>
      </w:r>
    </w:p>
    <w:p w14:paraId="6B39EACA" w14:textId="5A0A84E5" w:rsidR="005D12F7" w:rsidRPr="00934136" w:rsidRDefault="005D12F7" w:rsidP="005D12F7">
      <w:pPr>
        <w:pStyle w:val="Heading4"/>
      </w:pPr>
      <w:r w:rsidRPr="00934136">
        <w:lastRenderedPageBreak/>
        <w:t>Table: Registers administered by CAV</w:t>
      </w:r>
    </w:p>
    <w:tbl>
      <w:tblPr>
        <w:tblStyle w:val="TableGrid"/>
        <w:tblW w:w="9074" w:type="dxa"/>
        <w:tblLayout w:type="fixed"/>
        <w:tblLook w:val="06A0" w:firstRow="1" w:lastRow="0" w:firstColumn="1" w:lastColumn="0" w:noHBand="1" w:noVBand="1"/>
      </w:tblPr>
      <w:tblGrid>
        <w:gridCol w:w="2948"/>
        <w:gridCol w:w="1021"/>
        <w:gridCol w:w="1021"/>
        <w:gridCol w:w="1021"/>
        <w:gridCol w:w="1021"/>
        <w:gridCol w:w="1021"/>
        <w:gridCol w:w="1021"/>
      </w:tblGrid>
      <w:tr w:rsidR="005D12F7" w:rsidRPr="00934136" w14:paraId="61BABCB3" w14:textId="77777777" w:rsidTr="00344571">
        <w:trPr>
          <w:cnfStyle w:val="100000000000" w:firstRow="1" w:lastRow="0" w:firstColumn="0" w:lastColumn="0" w:oddVBand="0" w:evenVBand="0" w:oddHBand="0" w:evenHBand="0" w:firstRowFirstColumn="0" w:firstRowLastColumn="0" w:lastRowFirstColumn="0" w:lastRowLastColumn="0"/>
          <w:trHeight w:val="420"/>
          <w:tblHeader/>
        </w:trPr>
        <w:tc>
          <w:tcPr>
            <w:tcW w:w="2948" w:type="dxa"/>
            <w:vMerge w:val="restart"/>
          </w:tcPr>
          <w:p w14:paraId="27F126D8" w14:textId="77777777" w:rsidR="005D12F7" w:rsidRPr="00934136" w:rsidRDefault="005D12F7" w:rsidP="00344571">
            <w:pPr>
              <w:pStyle w:val="TableColHead"/>
            </w:pPr>
          </w:p>
        </w:tc>
        <w:tc>
          <w:tcPr>
            <w:tcW w:w="3063" w:type="dxa"/>
            <w:gridSpan w:val="3"/>
          </w:tcPr>
          <w:p w14:paraId="696BEFD4" w14:textId="77777777" w:rsidR="005D12F7" w:rsidRPr="00934136" w:rsidRDefault="005D12F7" w:rsidP="00344571">
            <w:pPr>
              <w:pStyle w:val="TableColHead"/>
              <w:jc w:val="center"/>
            </w:pPr>
            <w:r w:rsidRPr="00934136">
              <w:t xml:space="preserve">Number of </w:t>
            </w:r>
            <w:r w:rsidRPr="00934136">
              <w:br/>
              <w:t>applications lodged</w:t>
            </w:r>
          </w:p>
        </w:tc>
        <w:tc>
          <w:tcPr>
            <w:tcW w:w="3063" w:type="dxa"/>
            <w:gridSpan w:val="3"/>
          </w:tcPr>
          <w:p w14:paraId="6CDC7D2B" w14:textId="77777777" w:rsidR="005D12F7" w:rsidRPr="00934136" w:rsidRDefault="005D12F7" w:rsidP="00344571">
            <w:pPr>
              <w:pStyle w:val="TableColHead"/>
              <w:jc w:val="center"/>
            </w:pPr>
            <w:r w:rsidRPr="00934136">
              <w:t>Total on register</w:t>
            </w:r>
          </w:p>
        </w:tc>
      </w:tr>
      <w:tr w:rsidR="00A80A93" w:rsidRPr="00934136" w14:paraId="36BA3D52" w14:textId="77777777" w:rsidTr="00344571">
        <w:trPr>
          <w:cnfStyle w:val="100000000000" w:firstRow="1" w:lastRow="0" w:firstColumn="0" w:lastColumn="0" w:oddVBand="0" w:evenVBand="0" w:oddHBand="0" w:evenHBand="0" w:firstRowFirstColumn="0" w:firstRowLastColumn="0" w:lastRowFirstColumn="0" w:lastRowLastColumn="0"/>
          <w:trHeight w:val="420"/>
          <w:tblHeader/>
        </w:trPr>
        <w:tc>
          <w:tcPr>
            <w:tcW w:w="2948" w:type="dxa"/>
            <w:vMerge/>
          </w:tcPr>
          <w:p w14:paraId="53E61663" w14:textId="77777777" w:rsidR="00A80A93" w:rsidRPr="00934136" w:rsidRDefault="00A80A93" w:rsidP="00A80A93">
            <w:pPr>
              <w:pStyle w:val="BodyText"/>
            </w:pPr>
          </w:p>
        </w:tc>
        <w:tc>
          <w:tcPr>
            <w:tcW w:w="1021" w:type="dxa"/>
          </w:tcPr>
          <w:p w14:paraId="3CF5BB5E" w14:textId="13C3D8C3" w:rsidR="00A80A93" w:rsidRPr="00934136" w:rsidRDefault="00A80A93" w:rsidP="00A80A93">
            <w:pPr>
              <w:pStyle w:val="TableColHeadRight"/>
            </w:pPr>
            <w:r w:rsidRPr="00934136">
              <w:t>2021–22</w:t>
            </w:r>
          </w:p>
        </w:tc>
        <w:tc>
          <w:tcPr>
            <w:tcW w:w="1021" w:type="dxa"/>
          </w:tcPr>
          <w:p w14:paraId="3A21D21A" w14:textId="765BC04D" w:rsidR="00A80A93" w:rsidRPr="00934136" w:rsidRDefault="00A80A93" w:rsidP="00A80A93">
            <w:pPr>
              <w:pStyle w:val="TableColHeadRight"/>
            </w:pPr>
            <w:r w:rsidRPr="00934136">
              <w:t>2022–23</w:t>
            </w:r>
          </w:p>
        </w:tc>
        <w:tc>
          <w:tcPr>
            <w:tcW w:w="1021" w:type="dxa"/>
          </w:tcPr>
          <w:p w14:paraId="3E85F7D4" w14:textId="0071C70D" w:rsidR="00A80A93" w:rsidRPr="00934136" w:rsidRDefault="00A80A93" w:rsidP="00A80A93">
            <w:pPr>
              <w:pStyle w:val="TableColHeadRight"/>
            </w:pPr>
            <w:r w:rsidRPr="00934136">
              <w:t>2023–24</w:t>
            </w:r>
          </w:p>
        </w:tc>
        <w:tc>
          <w:tcPr>
            <w:tcW w:w="1021" w:type="dxa"/>
          </w:tcPr>
          <w:p w14:paraId="34814553" w14:textId="6BD57F85" w:rsidR="00A80A93" w:rsidRPr="00934136" w:rsidRDefault="00A80A93" w:rsidP="00A80A93">
            <w:pPr>
              <w:pStyle w:val="TableColHeadRight"/>
            </w:pPr>
            <w:r w:rsidRPr="00934136">
              <w:t>2021–22</w:t>
            </w:r>
          </w:p>
        </w:tc>
        <w:tc>
          <w:tcPr>
            <w:tcW w:w="1021" w:type="dxa"/>
          </w:tcPr>
          <w:p w14:paraId="5E4D5BAA" w14:textId="62BC6960" w:rsidR="00A80A93" w:rsidRPr="00934136" w:rsidRDefault="00A80A93" w:rsidP="00A80A93">
            <w:pPr>
              <w:pStyle w:val="TableColHeadRight"/>
            </w:pPr>
            <w:r w:rsidRPr="00934136">
              <w:t>2022–23</w:t>
            </w:r>
          </w:p>
        </w:tc>
        <w:tc>
          <w:tcPr>
            <w:tcW w:w="1021" w:type="dxa"/>
          </w:tcPr>
          <w:p w14:paraId="58C272C8" w14:textId="775CA4A6" w:rsidR="00A80A93" w:rsidRPr="00934136" w:rsidRDefault="00A80A93" w:rsidP="00A80A93">
            <w:pPr>
              <w:pStyle w:val="TableColHeadRight"/>
            </w:pPr>
            <w:r w:rsidRPr="00934136">
              <w:t>2023–24</w:t>
            </w:r>
          </w:p>
        </w:tc>
      </w:tr>
      <w:tr w:rsidR="00A80A93" w:rsidRPr="00934136" w14:paraId="3B68C55A" w14:textId="77777777" w:rsidTr="00A80A93">
        <w:trPr>
          <w:trHeight w:val="283"/>
        </w:trPr>
        <w:tc>
          <w:tcPr>
            <w:tcW w:w="9074" w:type="dxa"/>
            <w:gridSpan w:val="7"/>
            <w:shd w:val="clear" w:color="auto" w:fill="BCCAE5"/>
          </w:tcPr>
          <w:p w14:paraId="70D5213B" w14:textId="70767B38" w:rsidR="00A80A93" w:rsidRPr="00934136" w:rsidRDefault="00A80A93" w:rsidP="00A80A93">
            <w:pPr>
              <w:pStyle w:val="TableTextBold"/>
            </w:pPr>
            <w:r w:rsidRPr="00934136">
              <w:t>Business Licensing Authority administered schemes</w:t>
            </w:r>
          </w:p>
        </w:tc>
      </w:tr>
      <w:tr w:rsidR="00A80A93" w:rsidRPr="00934136" w14:paraId="715AD812" w14:textId="77777777" w:rsidTr="00344571">
        <w:trPr>
          <w:trHeight w:val="283"/>
        </w:trPr>
        <w:tc>
          <w:tcPr>
            <w:tcW w:w="2948" w:type="dxa"/>
          </w:tcPr>
          <w:p w14:paraId="21CF4463" w14:textId="006F07CF" w:rsidR="00A80A93" w:rsidRPr="00934136" w:rsidRDefault="00A80A93" w:rsidP="00A80A93">
            <w:pPr>
              <w:pStyle w:val="TableText"/>
            </w:pPr>
            <w:r w:rsidRPr="00934136">
              <w:t>Estate agents</w:t>
            </w:r>
            <w:r w:rsidRPr="00934136">
              <w:rPr>
                <w:rFonts w:cs="Arial"/>
              </w:rPr>
              <w:t> </w:t>
            </w:r>
            <w:r w:rsidRPr="00934136">
              <w:rPr>
                <w:rStyle w:val="FootnoteReference"/>
              </w:rPr>
              <w:footnoteReference w:id="11"/>
            </w:r>
          </w:p>
        </w:tc>
        <w:tc>
          <w:tcPr>
            <w:tcW w:w="1021" w:type="dxa"/>
          </w:tcPr>
          <w:p w14:paraId="277F5C63" w14:textId="6A07F938" w:rsidR="00A80A93" w:rsidRPr="00934136" w:rsidRDefault="00A80A93" w:rsidP="00A80A93">
            <w:pPr>
              <w:pStyle w:val="TableTextRight"/>
            </w:pPr>
            <w:r w:rsidRPr="00934136">
              <w:t>2,461</w:t>
            </w:r>
          </w:p>
        </w:tc>
        <w:tc>
          <w:tcPr>
            <w:tcW w:w="1021" w:type="dxa"/>
          </w:tcPr>
          <w:p w14:paraId="5C08144F" w14:textId="05DA03F0" w:rsidR="00A80A93" w:rsidRPr="00934136" w:rsidRDefault="00A80A93" w:rsidP="00A80A93">
            <w:pPr>
              <w:pStyle w:val="TableTextRight"/>
            </w:pPr>
            <w:r w:rsidRPr="00934136">
              <w:t>1,730</w:t>
            </w:r>
          </w:p>
        </w:tc>
        <w:tc>
          <w:tcPr>
            <w:tcW w:w="1021" w:type="dxa"/>
          </w:tcPr>
          <w:p w14:paraId="3D000C71" w14:textId="7BEF8565" w:rsidR="00A80A93" w:rsidRPr="00934136" w:rsidRDefault="00A80A93" w:rsidP="00A80A93">
            <w:pPr>
              <w:pStyle w:val="TableTextRight"/>
            </w:pPr>
            <w:r w:rsidRPr="00934136">
              <w:t>1,874</w:t>
            </w:r>
          </w:p>
        </w:tc>
        <w:tc>
          <w:tcPr>
            <w:tcW w:w="1021" w:type="dxa"/>
          </w:tcPr>
          <w:p w14:paraId="45EA1A8D" w14:textId="00FEA694" w:rsidR="00A80A93" w:rsidRPr="00934136" w:rsidRDefault="00A80A93" w:rsidP="00A80A93">
            <w:pPr>
              <w:pStyle w:val="TableTextRight"/>
            </w:pPr>
            <w:r w:rsidRPr="00934136">
              <w:t>17,633</w:t>
            </w:r>
          </w:p>
        </w:tc>
        <w:tc>
          <w:tcPr>
            <w:tcW w:w="1021" w:type="dxa"/>
          </w:tcPr>
          <w:p w14:paraId="41096259" w14:textId="48D0F63D" w:rsidR="00A80A93" w:rsidRPr="00934136" w:rsidRDefault="00A80A93" w:rsidP="00A80A93">
            <w:pPr>
              <w:pStyle w:val="TableTextRight"/>
            </w:pPr>
            <w:r w:rsidRPr="00934136">
              <w:t>17,919</w:t>
            </w:r>
          </w:p>
        </w:tc>
        <w:tc>
          <w:tcPr>
            <w:tcW w:w="1021" w:type="dxa"/>
          </w:tcPr>
          <w:p w14:paraId="200EC2FB" w14:textId="2EDDDB29" w:rsidR="00A80A93" w:rsidRPr="00934136" w:rsidRDefault="00A80A93" w:rsidP="00A80A93">
            <w:pPr>
              <w:pStyle w:val="TableTextRight"/>
            </w:pPr>
            <w:r w:rsidRPr="00934136">
              <w:t>18,312</w:t>
            </w:r>
          </w:p>
        </w:tc>
      </w:tr>
      <w:tr w:rsidR="00A80A93" w:rsidRPr="00934136" w14:paraId="42ED3EAD" w14:textId="77777777" w:rsidTr="00344571">
        <w:trPr>
          <w:trHeight w:val="283"/>
        </w:trPr>
        <w:tc>
          <w:tcPr>
            <w:tcW w:w="2948" w:type="dxa"/>
          </w:tcPr>
          <w:p w14:paraId="45200FEB" w14:textId="3FDF8988" w:rsidR="00A80A93" w:rsidRPr="00934136" w:rsidRDefault="00A80A93" w:rsidP="00A80A93">
            <w:pPr>
              <w:pStyle w:val="TableText"/>
            </w:pPr>
            <w:r w:rsidRPr="00934136">
              <w:t>Agents’ representatives</w:t>
            </w:r>
            <w:r w:rsidRPr="00934136">
              <w:rPr>
                <w:rFonts w:cs="Arial"/>
              </w:rPr>
              <w:t> </w:t>
            </w:r>
            <w:r w:rsidRPr="00934136">
              <w:rPr>
                <w:vertAlign w:val="superscript"/>
              </w:rPr>
              <w:footnoteReference w:id="12"/>
            </w:r>
          </w:p>
        </w:tc>
        <w:tc>
          <w:tcPr>
            <w:tcW w:w="1021" w:type="dxa"/>
          </w:tcPr>
          <w:p w14:paraId="7A0F7B11" w14:textId="72748A55" w:rsidR="00A80A93" w:rsidRPr="00934136" w:rsidRDefault="00A80A93" w:rsidP="00A80A93">
            <w:pPr>
              <w:pStyle w:val="TableTextRight"/>
            </w:pPr>
            <w:r w:rsidRPr="00934136">
              <w:t>7,365</w:t>
            </w:r>
          </w:p>
        </w:tc>
        <w:tc>
          <w:tcPr>
            <w:tcW w:w="1021" w:type="dxa"/>
          </w:tcPr>
          <w:p w14:paraId="3EF12D11" w14:textId="2324C28E" w:rsidR="00A80A93" w:rsidRPr="00934136" w:rsidRDefault="00A80A93" w:rsidP="00A80A93">
            <w:pPr>
              <w:pStyle w:val="TableTextRight"/>
            </w:pPr>
            <w:r w:rsidRPr="00934136">
              <w:t>6,156</w:t>
            </w:r>
          </w:p>
        </w:tc>
        <w:tc>
          <w:tcPr>
            <w:tcW w:w="1021" w:type="dxa"/>
          </w:tcPr>
          <w:p w14:paraId="455AC29D" w14:textId="7CC52134" w:rsidR="00A80A93" w:rsidRPr="00934136" w:rsidRDefault="00A80A93" w:rsidP="00A80A93">
            <w:pPr>
              <w:pStyle w:val="TableTextRight"/>
            </w:pPr>
            <w:r w:rsidRPr="00934136">
              <w:t>6,754</w:t>
            </w:r>
          </w:p>
        </w:tc>
        <w:tc>
          <w:tcPr>
            <w:tcW w:w="1021" w:type="dxa"/>
          </w:tcPr>
          <w:p w14:paraId="45E8C7EB" w14:textId="24E4697D" w:rsidR="00A80A93" w:rsidRPr="00934136" w:rsidRDefault="00A80A93" w:rsidP="00A80A93">
            <w:pPr>
              <w:pStyle w:val="TableTextRight"/>
            </w:pPr>
            <w:r w:rsidRPr="00934136">
              <w:t>15,657</w:t>
            </w:r>
          </w:p>
        </w:tc>
        <w:tc>
          <w:tcPr>
            <w:tcW w:w="1021" w:type="dxa"/>
          </w:tcPr>
          <w:p w14:paraId="0E4A55C5" w14:textId="117589DF" w:rsidR="00A80A93" w:rsidRPr="00934136" w:rsidRDefault="00A80A93" w:rsidP="00A80A93">
            <w:pPr>
              <w:pStyle w:val="TableTextRight"/>
            </w:pPr>
            <w:r w:rsidRPr="00934136">
              <w:t>15,029</w:t>
            </w:r>
          </w:p>
        </w:tc>
        <w:tc>
          <w:tcPr>
            <w:tcW w:w="1021" w:type="dxa"/>
          </w:tcPr>
          <w:p w14:paraId="54C92069" w14:textId="05A82540" w:rsidR="00A80A93" w:rsidRPr="00934136" w:rsidRDefault="00A80A93" w:rsidP="00A80A93">
            <w:pPr>
              <w:pStyle w:val="TableTextRight"/>
            </w:pPr>
            <w:r w:rsidRPr="00934136">
              <w:t>15,406</w:t>
            </w:r>
          </w:p>
        </w:tc>
      </w:tr>
      <w:tr w:rsidR="00A80A93" w:rsidRPr="00934136" w14:paraId="7D7A8F75" w14:textId="77777777" w:rsidTr="00344571">
        <w:trPr>
          <w:trHeight w:val="283"/>
        </w:trPr>
        <w:tc>
          <w:tcPr>
            <w:tcW w:w="2948" w:type="dxa"/>
          </w:tcPr>
          <w:p w14:paraId="228A4738" w14:textId="70518337" w:rsidR="00A80A93" w:rsidRPr="00934136" w:rsidRDefault="00A80A93" w:rsidP="00A80A93">
            <w:pPr>
              <w:pStyle w:val="TableText"/>
            </w:pPr>
            <w:r w:rsidRPr="00934136">
              <w:t>Motor car traders</w:t>
            </w:r>
          </w:p>
        </w:tc>
        <w:tc>
          <w:tcPr>
            <w:tcW w:w="1021" w:type="dxa"/>
          </w:tcPr>
          <w:p w14:paraId="2DDAF70D" w14:textId="309A01B8" w:rsidR="00A80A93" w:rsidRPr="00934136" w:rsidRDefault="00A80A93" w:rsidP="00A80A93">
            <w:pPr>
              <w:pStyle w:val="TableTextRight"/>
            </w:pPr>
            <w:r w:rsidRPr="00934136">
              <w:t>113</w:t>
            </w:r>
          </w:p>
        </w:tc>
        <w:tc>
          <w:tcPr>
            <w:tcW w:w="1021" w:type="dxa"/>
          </w:tcPr>
          <w:p w14:paraId="4444810B" w14:textId="14244024" w:rsidR="00A80A93" w:rsidRPr="00934136" w:rsidRDefault="00A80A93" w:rsidP="00A80A93">
            <w:pPr>
              <w:pStyle w:val="TableTextRight"/>
            </w:pPr>
            <w:r w:rsidRPr="00934136">
              <w:t>152</w:t>
            </w:r>
          </w:p>
        </w:tc>
        <w:tc>
          <w:tcPr>
            <w:tcW w:w="1021" w:type="dxa"/>
          </w:tcPr>
          <w:p w14:paraId="13175C3D" w14:textId="73151B9A" w:rsidR="00A80A93" w:rsidRPr="00934136" w:rsidRDefault="00A80A93" w:rsidP="00A80A93">
            <w:pPr>
              <w:pStyle w:val="TableTextRight"/>
            </w:pPr>
            <w:r w:rsidRPr="00934136">
              <w:t>228</w:t>
            </w:r>
          </w:p>
        </w:tc>
        <w:tc>
          <w:tcPr>
            <w:tcW w:w="1021" w:type="dxa"/>
          </w:tcPr>
          <w:p w14:paraId="023A5074" w14:textId="653FD63A" w:rsidR="00A80A93" w:rsidRPr="00934136" w:rsidRDefault="00A80A93" w:rsidP="00A80A93">
            <w:pPr>
              <w:pStyle w:val="TableTextRight"/>
            </w:pPr>
            <w:r w:rsidRPr="00934136">
              <w:t>2,199</w:t>
            </w:r>
          </w:p>
        </w:tc>
        <w:tc>
          <w:tcPr>
            <w:tcW w:w="1021" w:type="dxa"/>
          </w:tcPr>
          <w:p w14:paraId="122D1FC6" w14:textId="6F84B9D7" w:rsidR="00A80A93" w:rsidRPr="00934136" w:rsidRDefault="00A80A93" w:rsidP="00A80A93">
            <w:pPr>
              <w:pStyle w:val="TableTextRight"/>
            </w:pPr>
            <w:r w:rsidRPr="00934136">
              <w:t>2,198</w:t>
            </w:r>
          </w:p>
        </w:tc>
        <w:tc>
          <w:tcPr>
            <w:tcW w:w="1021" w:type="dxa"/>
          </w:tcPr>
          <w:p w14:paraId="6828BA28" w14:textId="3F8710BA" w:rsidR="00A80A93" w:rsidRPr="00934136" w:rsidRDefault="00A80A93" w:rsidP="00A80A93">
            <w:pPr>
              <w:pStyle w:val="TableTextRight"/>
            </w:pPr>
            <w:r w:rsidRPr="00934136">
              <w:t>2,280</w:t>
            </w:r>
          </w:p>
        </w:tc>
      </w:tr>
      <w:tr w:rsidR="00A80A93" w:rsidRPr="00934136" w14:paraId="2616A258" w14:textId="77777777" w:rsidTr="00344571">
        <w:trPr>
          <w:trHeight w:val="283"/>
        </w:trPr>
        <w:tc>
          <w:tcPr>
            <w:tcW w:w="2948" w:type="dxa"/>
          </w:tcPr>
          <w:p w14:paraId="61DE702A" w14:textId="09B28FEB" w:rsidR="00A80A93" w:rsidRPr="00934136" w:rsidRDefault="00A80A93" w:rsidP="00A80A93">
            <w:pPr>
              <w:pStyle w:val="TableText"/>
            </w:pPr>
            <w:r w:rsidRPr="00934136">
              <w:t>Second-hand dealers and pawnbrokers</w:t>
            </w:r>
          </w:p>
        </w:tc>
        <w:tc>
          <w:tcPr>
            <w:tcW w:w="1021" w:type="dxa"/>
          </w:tcPr>
          <w:p w14:paraId="2D81F46B" w14:textId="3AFF7507" w:rsidR="00A80A93" w:rsidRPr="00934136" w:rsidRDefault="00A80A93" w:rsidP="00A80A93">
            <w:pPr>
              <w:pStyle w:val="TableTextRight"/>
            </w:pPr>
            <w:r w:rsidRPr="00934136">
              <w:t>203</w:t>
            </w:r>
          </w:p>
        </w:tc>
        <w:tc>
          <w:tcPr>
            <w:tcW w:w="1021" w:type="dxa"/>
          </w:tcPr>
          <w:p w14:paraId="6D8A7BB1" w14:textId="37E67943" w:rsidR="00A80A93" w:rsidRPr="00934136" w:rsidRDefault="00A80A93" w:rsidP="00A80A93">
            <w:pPr>
              <w:pStyle w:val="TableTextRight"/>
            </w:pPr>
            <w:r w:rsidRPr="00934136">
              <w:t>187</w:t>
            </w:r>
          </w:p>
        </w:tc>
        <w:tc>
          <w:tcPr>
            <w:tcW w:w="1021" w:type="dxa"/>
          </w:tcPr>
          <w:p w14:paraId="74B838CC" w14:textId="2BABBE31" w:rsidR="00A80A93" w:rsidRPr="00934136" w:rsidRDefault="00A80A93" w:rsidP="00A80A93">
            <w:pPr>
              <w:pStyle w:val="TableTextRight"/>
            </w:pPr>
            <w:r w:rsidRPr="00934136">
              <w:t>244</w:t>
            </w:r>
          </w:p>
        </w:tc>
        <w:tc>
          <w:tcPr>
            <w:tcW w:w="1021" w:type="dxa"/>
          </w:tcPr>
          <w:p w14:paraId="5A67E1EB" w14:textId="480D5E2E" w:rsidR="00A80A93" w:rsidRPr="00934136" w:rsidRDefault="00A80A93" w:rsidP="00A80A93">
            <w:pPr>
              <w:pStyle w:val="TableTextRight"/>
            </w:pPr>
            <w:r w:rsidRPr="00934136">
              <w:t>3,610</w:t>
            </w:r>
          </w:p>
        </w:tc>
        <w:tc>
          <w:tcPr>
            <w:tcW w:w="1021" w:type="dxa"/>
          </w:tcPr>
          <w:p w14:paraId="5E52DF4B" w14:textId="73F934C9" w:rsidR="00A80A93" w:rsidRPr="00934136" w:rsidRDefault="00A80A93" w:rsidP="00A80A93">
            <w:pPr>
              <w:pStyle w:val="TableTextRight"/>
            </w:pPr>
            <w:r w:rsidRPr="00934136">
              <w:t>2,988</w:t>
            </w:r>
          </w:p>
        </w:tc>
        <w:tc>
          <w:tcPr>
            <w:tcW w:w="1021" w:type="dxa"/>
          </w:tcPr>
          <w:p w14:paraId="2C4D21CE" w14:textId="361CB6D1" w:rsidR="00A80A93" w:rsidRPr="00934136" w:rsidRDefault="00A80A93" w:rsidP="00A80A93">
            <w:pPr>
              <w:pStyle w:val="TableTextRight"/>
            </w:pPr>
            <w:r w:rsidRPr="00934136">
              <w:t>2,790</w:t>
            </w:r>
          </w:p>
        </w:tc>
      </w:tr>
      <w:tr w:rsidR="00A80A93" w:rsidRPr="00934136" w14:paraId="1A226663" w14:textId="77777777" w:rsidTr="00344571">
        <w:trPr>
          <w:trHeight w:val="283"/>
        </w:trPr>
        <w:tc>
          <w:tcPr>
            <w:tcW w:w="2948" w:type="dxa"/>
          </w:tcPr>
          <w:p w14:paraId="4D5EE0E3" w14:textId="014A1856" w:rsidR="00A80A93" w:rsidRPr="00934136" w:rsidRDefault="00A80A93" w:rsidP="00A80A93">
            <w:pPr>
              <w:pStyle w:val="TableText"/>
            </w:pPr>
            <w:r w:rsidRPr="00934136">
              <w:t>Conveyancers</w:t>
            </w:r>
          </w:p>
        </w:tc>
        <w:tc>
          <w:tcPr>
            <w:tcW w:w="1021" w:type="dxa"/>
          </w:tcPr>
          <w:p w14:paraId="4BE632EA" w14:textId="5EC7D893" w:rsidR="00A80A93" w:rsidRPr="00934136" w:rsidRDefault="00A80A93" w:rsidP="00A80A93">
            <w:pPr>
              <w:pStyle w:val="TableTextRight"/>
            </w:pPr>
            <w:r w:rsidRPr="00934136">
              <w:t>155</w:t>
            </w:r>
          </w:p>
        </w:tc>
        <w:tc>
          <w:tcPr>
            <w:tcW w:w="1021" w:type="dxa"/>
          </w:tcPr>
          <w:p w14:paraId="593C1BAA" w14:textId="456C7459" w:rsidR="00A80A93" w:rsidRPr="00934136" w:rsidRDefault="00A80A93" w:rsidP="00A80A93">
            <w:pPr>
              <w:pStyle w:val="TableTextRight"/>
            </w:pPr>
            <w:r w:rsidRPr="00934136">
              <w:t>105</w:t>
            </w:r>
          </w:p>
        </w:tc>
        <w:tc>
          <w:tcPr>
            <w:tcW w:w="1021" w:type="dxa"/>
          </w:tcPr>
          <w:p w14:paraId="71FE2EBC" w14:textId="74A4C31F" w:rsidR="00A80A93" w:rsidRPr="00934136" w:rsidRDefault="00A80A93" w:rsidP="00A80A93">
            <w:pPr>
              <w:pStyle w:val="TableTextRight"/>
            </w:pPr>
            <w:r w:rsidRPr="00934136">
              <w:t>145</w:t>
            </w:r>
          </w:p>
        </w:tc>
        <w:tc>
          <w:tcPr>
            <w:tcW w:w="1021" w:type="dxa"/>
          </w:tcPr>
          <w:p w14:paraId="3F53C44E" w14:textId="44513EE0" w:rsidR="00A80A93" w:rsidRPr="00934136" w:rsidRDefault="00A80A93" w:rsidP="00A80A93">
            <w:pPr>
              <w:pStyle w:val="TableTextRight"/>
            </w:pPr>
            <w:r w:rsidRPr="00934136">
              <w:t>1,270</w:t>
            </w:r>
          </w:p>
        </w:tc>
        <w:tc>
          <w:tcPr>
            <w:tcW w:w="1021" w:type="dxa"/>
          </w:tcPr>
          <w:p w14:paraId="0B9EAE4B" w14:textId="3FB41908" w:rsidR="00A80A93" w:rsidRPr="00934136" w:rsidRDefault="00A80A93" w:rsidP="00A80A93">
            <w:pPr>
              <w:pStyle w:val="TableTextRight"/>
            </w:pPr>
            <w:r w:rsidRPr="00934136">
              <w:t>1,320</w:t>
            </w:r>
          </w:p>
        </w:tc>
        <w:tc>
          <w:tcPr>
            <w:tcW w:w="1021" w:type="dxa"/>
          </w:tcPr>
          <w:p w14:paraId="6191316F" w14:textId="26D16F18" w:rsidR="00A80A93" w:rsidRPr="00934136" w:rsidRDefault="00A80A93" w:rsidP="00A80A93">
            <w:pPr>
              <w:pStyle w:val="TableTextRight"/>
            </w:pPr>
            <w:r w:rsidRPr="00934136">
              <w:t>1,389</w:t>
            </w:r>
          </w:p>
        </w:tc>
      </w:tr>
      <w:tr w:rsidR="00A80A93" w:rsidRPr="00934136" w14:paraId="71C29D31" w14:textId="77777777" w:rsidTr="00344571">
        <w:trPr>
          <w:trHeight w:val="283"/>
        </w:trPr>
        <w:tc>
          <w:tcPr>
            <w:tcW w:w="2948" w:type="dxa"/>
          </w:tcPr>
          <w:p w14:paraId="34BEAF7E" w14:textId="4A905A73" w:rsidR="00A80A93" w:rsidRPr="00934136" w:rsidRDefault="00A80A93" w:rsidP="00A80A93">
            <w:pPr>
              <w:pStyle w:val="TableText"/>
            </w:pPr>
            <w:r w:rsidRPr="00934136">
              <w:t>Owners corporation managers</w:t>
            </w:r>
          </w:p>
        </w:tc>
        <w:tc>
          <w:tcPr>
            <w:tcW w:w="1021" w:type="dxa"/>
          </w:tcPr>
          <w:p w14:paraId="125F5236" w14:textId="30D8FFFC" w:rsidR="00A80A93" w:rsidRPr="00934136" w:rsidRDefault="00A80A93" w:rsidP="00A80A93">
            <w:pPr>
              <w:pStyle w:val="TableTextRight"/>
            </w:pPr>
            <w:r w:rsidRPr="00934136">
              <w:t>59</w:t>
            </w:r>
          </w:p>
        </w:tc>
        <w:tc>
          <w:tcPr>
            <w:tcW w:w="1021" w:type="dxa"/>
          </w:tcPr>
          <w:p w14:paraId="6DE1A87F" w14:textId="4D310180" w:rsidR="00A80A93" w:rsidRPr="00934136" w:rsidRDefault="00A80A93" w:rsidP="00A80A93">
            <w:pPr>
              <w:pStyle w:val="TableTextRight"/>
            </w:pPr>
            <w:r w:rsidRPr="00934136">
              <w:t>62</w:t>
            </w:r>
          </w:p>
        </w:tc>
        <w:tc>
          <w:tcPr>
            <w:tcW w:w="1021" w:type="dxa"/>
          </w:tcPr>
          <w:p w14:paraId="050A09E6" w14:textId="41DB2CFB" w:rsidR="00A80A93" w:rsidRPr="00934136" w:rsidRDefault="00A80A93" w:rsidP="00A80A93">
            <w:pPr>
              <w:pStyle w:val="TableTextRight"/>
            </w:pPr>
            <w:r w:rsidRPr="00934136">
              <w:t>71</w:t>
            </w:r>
          </w:p>
        </w:tc>
        <w:tc>
          <w:tcPr>
            <w:tcW w:w="1021" w:type="dxa"/>
          </w:tcPr>
          <w:p w14:paraId="6D2A7679" w14:textId="5292FF5E" w:rsidR="00A80A93" w:rsidRPr="00934136" w:rsidRDefault="00A80A93" w:rsidP="00A80A93">
            <w:pPr>
              <w:pStyle w:val="TableTextRight"/>
            </w:pPr>
            <w:r w:rsidRPr="00934136">
              <w:t>652</w:t>
            </w:r>
          </w:p>
        </w:tc>
        <w:tc>
          <w:tcPr>
            <w:tcW w:w="1021" w:type="dxa"/>
          </w:tcPr>
          <w:p w14:paraId="110FE976" w14:textId="1289E9E9" w:rsidR="00A80A93" w:rsidRPr="00934136" w:rsidRDefault="00A80A93" w:rsidP="00A80A93">
            <w:pPr>
              <w:pStyle w:val="TableTextRight"/>
            </w:pPr>
            <w:r w:rsidRPr="00934136">
              <w:t>627</w:t>
            </w:r>
          </w:p>
        </w:tc>
        <w:tc>
          <w:tcPr>
            <w:tcW w:w="1021" w:type="dxa"/>
          </w:tcPr>
          <w:p w14:paraId="2A7BFDC1" w14:textId="431ECDEF" w:rsidR="00A80A93" w:rsidRPr="00934136" w:rsidRDefault="00A80A93" w:rsidP="00A80A93">
            <w:pPr>
              <w:pStyle w:val="TableTextRight"/>
            </w:pPr>
            <w:r w:rsidRPr="00934136">
              <w:t>627</w:t>
            </w:r>
          </w:p>
        </w:tc>
      </w:tr>
      <w:tr w:rsidR="00A80A93" w:rsidRPr="00934136" w14:paraId="0900B96A" w14:textId="77777777" w:rsidTr="00344571">
        <w:trPr>
          <w:trHeight w:val="283"/>
        </w:trPr>
        <w:tc>
          <w:tcPr>
            <w:tcW w:w="2948" w:type="dxa"/>
          </w:tcPr>
          <w:p w14:paraId="521556F6" w14:textId="1886C335" w:rsidR="00A80A93" w:rsidRPr="00934136" w:rsidRDefault="00A80A93" w:rsidP="00A80A93">
            <w:pPr>
              <w:pStyle w:val="TableText"/>
            </w:pPr>
            <w:r w:rsidRPr="00934136">
              <w:t>Sex work service providers (licensees)</w:t>
            </w:r>
          </w:p>
        </w:tc>
        <w:tc>
          <w:tcPr>
            <w:tcW w:w="1021" w:type="dxa"/>
          </w:tcPr>
          <w:p w14:paraId="17B60671" w14:textId="4269DCB4" w:rsidR="00A80A93" w:rsidRPr="00934136" w:rsidRDefault="00A80A93" w:rsidP="00A80A93">
            <w:pPr>
              <w:pStyle w:val="TableTextRight"/>
            </w:pPr>
            <w:r w:rsidRPr="00934136">
              <w:t>4</w:t>
            </w:r>
          </w:p>
        </w:tc>
        <w:tc>
          <w:tcPr>
            <w:tcW w:w="1021" w:type="dxa"/>
          </w:tcPr>
          <w:p w14:paraId="3D21E62E" w14:textId="53773FF3" w:rsidR="00A80A93" w:rsidRPr="00934136" w:rsidRDefault="00A80A93" w:rsidP="00A80A93">
            <w:pPr>
              <w:pStyle w:val="TableTextRight"/>
            </w:pPr>
            <w:r w:rsidRPr="00934136">
              <w:t>3</w:t>
            </w:r>
          </w:p>
        </w:tc>
        <w:tc>
          <w:tcPr>
            <w:tcW w:w="1021" w:type="dxa"/>
          </w:tcPr>
          <w:p w14:paraId="58885757" w14:textId="5E9182D0" w:rsidR="00A80A93" w:rsidRPr="00934136" w:rsidRDefault="00A80A93" w:rsidP="00A80A93">
            <w:pPr>
              <w:pStyle w:val="TableTextRight"/>
            </w:pPr>
            <w:r w:rsidRPr="00934136">
              <w:t>1</w:t>
            </w:r>
          </w:p>
        </w:tc>
        <w:tc>
          <w:tcPr>
            <w:tcW w:w="1021" w:type="dxa"/>
          </w:tcPr>
          <w:p w14:paraId="018B7C47" w14:textId="2E16E3D5" w:rsidR="00A80A93" w:rsidRPr="00934136" w:rsidRDefault="00A80A93" w:rsidP="00A80A93">
            <w:pPr>
              <w:pStyle w:val="TableTextRight"/>
            </w:pPr>
            <w:r w:rsidRPr="00934136">
              <w:t>103</w:t>
            </w:r>
          </w:p>
        </w:tc>
        <w:tc>
          <w:tcPr>
            <w:tcW w:w="1021" w:type="dxa"/>
          </w:tcPr>
          <w:p w14:paraId="5F2B50D6" w14:textId="10D89105" w:rsidR="00A80A93" w:rsidRPr="00934136" w:rsidRDefault="00A80A93" w:rsidP="00A80A93">
            <w:pPr>
              <w:pStyle w:val="TableTextRight"/>
            </w:pPr>
            <w:r w:rsidRPr="00934136">
              <w:t>100</w:t>
            </w:r>
          </w:p>
        </w:tc>
        <w:tc>
          <w:tcPr>
            <w:tcW w:w="1021" w:type="dxa"/>
          </w:tcPr>
          <w:p w14:paraId="1BC8FF8E" w14:textId="541688BB" w:rsidR="00A80A93" w:rsidRPr="00934136" w:rsidRDefault="00A80A93" w:rsidP="00A80A93">
            <w:pPr>
              <w:pStyle w:val="TableTextRight"/>
            </w:pPr>
            <w:r w:rsidRPr="00934136">
              <w:t>–</w:t>
            </w:r>
            <w:r w:rsidRPr="00934136">
              <w:rPr>
                <w:rFonts w:cs="Arial"/>
              </w:rPr>
              <w:t> </w:t>
            </w:r>
            <w:r w:rsidRPr="00934136">
              <w:rPr>
                <w:rStyle w:val="FootnoteReference"/>
              </w:rPr>
              <w:footnoteReference w:id="13"/>
            </w:r>
          </w:p>
        </w:tc>
      </w:tr>
      <w:tr w:rsidR="00A80A93" w:rsidRPr="00934136" w14:paraId="3BE24066" w14:textId="77777777" w:rsidTr="00344571">
        <w:trPr>
          <w:trHeight w:val="283"/>
        </w:trPr>
        <w:tc>
          <w:tcPr>
            <w:tcW w:w="2948" w:type="dxa"/>
          </w:tcPr>
          <w:p w14:paraId="7BD5CE47" w14:textId="640983B3" w:rsidR="00A80A93" w:rsidRPr="00934136" w:rsidRDefault="00A80A93" w:rsidP="00A80A93">
            <w:pPr>
              <w:pStyle w:val="TableText"/>
            </w:pPr>
            <w:r w:rsidRPr="00934136">
              <w:t>Sex work brothel managers</w:t>
            </w:r>
          </w:p>
        </w:tc>
        <w:tc>
          <w:tcPr>
            <w:tcW w:w="1021" w:type="dxa"/>
          </w:tcPr>
          <w:p w14:paraId="54577187" w14:textId="2D4B0AEC" w:rsidR="00A80A93" w:rsidRPr="00934136" w:rsidRDefault="00A80A93" w:rsidP="00A80A93">
            <w:pPr>
              <w:pStyle w:val="TableTextRight"/>
            </w:pPr>
            <w:r w:rsidRPr="00934136">
              <w:t>65</w:t>
            </w:r>
          </w:p>
        </w:tc>
        <w:tc>
          <w:tcPr>
            <w:tcW w:w="1021" w:type="dxa"/>
          </w:tcPr>
          <w:p w14:paraId="39AB2C13" w14:textId="0CBF54E0" w:rsidR="00A80A93" w:rsidRPr="00934136" w:rsidRDefault="00A80A93" w:rsidP="00A80A93">
            <w:pPr>
              <w:pStyle w:val="TableTextRight"/>
            </w:pPr>
            <w:r w:rsidRPr="00934136">
              <w:t>87</w:t>
            </w:r>
          </w:p>
        </w:tc>
        <w:tc>
          <w:tcPr>
            <w:tcW w:w="1021" w:type="dxa"/>
          </w:tcPr>
          <w:p w14:paraId="76C69B2F" w14:textId="498D56A4" w:rsidR="00A80A93" w:rsidRPr="00934136" w:rsidRDefault="00A80A93" w:rsidP="00A80A93">
            <w:pPr>
              <w:pStyle w:val="TableTextRight"/>
            </w:pPr>
            <w:r w:rsidRPr="00934136">
              <w:t>8</w:t>
            </w:r>
          </w:p>
        </w:tc>
        <w:tc>
          <w:tcPr>
            <w:tcW w:w="1021" w:type="dxa"/>
          </w:tcPr>
          <w:p w14:paraId="3C3C4273" w14:textId="4956EE29" w:rsidR="00A80A93" w:rsidRPr="00934136" w:rsidRDefault="00A80A93" w:rsidP="00A80A93">
            <w:pPr>
              <w:pStyle w:val="TableTextRight"/>
            </w:pPr>
            <w:r w:rsidRPr="00934136">
              <w:t>692</w:t>
            </w:r>
          </w:p>
        </w:tc>
        <w:tc>
          <w:tcPr>
            <w:tcW w:w="1021" w:type="dxa"/>
          </w:tcPr>
          <w:p w14:paraId="6ECE10AA" w14:textId="1ACDBE89" w:rsidR="00A80A93" w:rsidRPr="00934136" w:rsidRDefault="00A80A93" w:rsidP="00A80A93">
            <w:pPr>
              <w:pStyle w:val="TableTextRight"/>
            </w:pPr>
            <w:r w:rsidRPr="00934136">
              <w:t>494</w:t>
            </w:r>
          </w:p>
        </w:tc>
        <w:tc>
          <w:tcPr>
            <w:tcW w:w="1021" w:type="dxa"/>
          </w:tcPr>
          <w:p w14:paraId="72623042" w14:textId="4AFE1598" w:rsidR="00A80A93" w:rsidRPr="00934136" w:rsidRDefault="00A80A93" w:rsidP="00A80A93">
            <w:pPr>
              <w:pStyle w:val="TableTextRight"/>
            </w:pPr>
            <w:r w:rsidRPr="00934136">
              <w:t>–</w:t>
            </w:r>
            <w:r w:rsidRPr="00934136">
              <w:rPr>
                <w:rFonts w:cs="Arial"/>
              </w:rPr>
              <w:t> </w:t>
            </w:r>
            <w:r w:rsidRPr="00934136">
              <w:rPr>
                <w:rStyle w:val="FootnoteReference"/>
              </w:rPr>
              <w:footnoteReference w:id="14"/>
            </w:r>
          </w:p>
        </w:tc>
      </w:tr>
      <w:tr w:rsidR="00A80A93" w:rsidRPr="00934136" w14:paraId="271694D6" w14:textId="77777777" w:rsidTr="00344571">
        <w:trPr>
          <w:trHeight w:val="283"/>
        </w:trPr>
        <w:tc>
          <w:tcPr>
            <w:tcW w:w="2948" w:type="dxa"/>
          </w:tcPr>
          <w:p w14:paraId="71CD5C99" w14:textId="2F1CB36B" w:rsidR="00A80A93" w:rsidRPr="00934136" w:rsidRDefault="00A80A93" w:rsidP="00A80A93">
            <w:pPr>
              <w:pStyle w:val="TableText"/>
            </w:pPr>
            <w:r w:rsidRPr="00934136">
              <w:t>Rooming house operators</w:t>
            </w:r>
          </w:p>
        </w:tc>
        <w:tc>
          <w:tcPr>
            <w:tcW w:w="1021" w:type="dxa"/>
          </w:tcPr>
          <w:p w14:paraId="6E6647B9" w14:textId="765DD9C1" w:rsidR="00A80A93" w:rsidRPr="00934136" w:rsidRDefault="00A80A93" w:rsidP="00A80A93">
            <w:pPr>
              <w:pStyle w:val="TableTextRight"/>
            </w:pPr>
            <w:r w:rsidRPr="00934136">
              <w:t>119</w:t>
            </w:r>
          </w:p>
        </w:tc>
        <w:tc>
          <w:tcPr>
            <w:tcW w:w="1021" w:type="dxa"/>
          </w:tcPr>
          <w:p w14:paraId="64DA8502" w14:textId="52908E8D" w:rsidR="00A80A93" w:rsidRPr="00934136" w:rsidRDefault="00A80A93" w:rsidP="00A80A93">
            <w:pPr>
              <w:pStyle w:val="TableTextRight"/>
            </w:pPr>
            <w:r w:rsidRPr="00934136">
              <w:t>161</w:t>
            </w:r>
          </w:p>
        </w:tc>
        <w:tc>
          <w:tcPr>
            <w:tcW w:w="1021" w:type="dxa"/>
          </w:tcPr>
          <w:p w14:paraId="2E2D80DC" w14:textId="00ED79C1" w:rsidR="00A80A93" w:rsidRPr="00934136" w:rsidRDefault="00A80A93" w:rsidP="00A80A93">
            <w:pPr>
              <w:pStyle w:val="TableTextRight"/>
            </w:pPr>
            <w:r w:rsidRPr="00934136">
              <w:t>197</w:t>
            </w:r>
          </w:p>
        </w:tc>
        <w:tc>
          <w:tcPr>
            <w:tcW w:w="1021" w:type="dxa"/>
          </w:tcPr>
          <w:p w14:paraId="22B53750" w14:textId="7B0F91BD" w:rsidR="00A80A93" w:rsidRPr="00934136" w:rsidRDefault="00A80A93" w:rsidP="00A80A93">
            <w:pPr>
              <w:pStyle w:val="TableTextRight"/>
            </w:pPr>
            <w:r w:rsidRPr="00934136">
              <w:t>1,060</w:t>
            </w:r>
          </w:p>
        </w:tc>
        <w:tc>
          <w:tcPr>
            <w:tcW w:w="1021" w:type="dxa"/>
          </w:tcPr>
          <w:p w14:paraId="1D17C52B" w14:textId="696FEE3C" w:rsidR="00A80A93" w:rsidRPr="00934136" w:rsidRDefault="00A80A93" w:rsidP="00A80A93">
            <w:pPr>
              <w:pStyle w:val="TableTextRight"/>
            </w:pPr>
            <w:r w:rsidRPr="00934136">
              <w:t>1,142</w:t>
            </w:r>
          </w:p>
        </w:tc>
        <w:tc>
          <w:tcPr>
            <w:tcW w:w="1021" w:type="dxa"/>
          </w:tcPr>
          <w:p w14:paraId="33F3B294" w14:textId="32676068" w:rsidR="00A80A93" w:rsidRPr="00934136" w:rsidRDefault="00A80A93" w:rsidP="00A80A93">
            <w:pPr>
              <w:pStyle w:val="TableTextRight"/>
            </w:pPr>
            <w:r w:rsidRPr="00934136">
              <w:t>1,172</w:t>
            </w:r>
          </w:p>
        </w:tc>
      </w:tr>
      <w:tr w:rsidR="00A80A93" w:rsidRPr="00934136" w14:paraId="21B58C8A" w14:textId="77777777" w:rsidTr="00344571">
        <w:trPr>
          <w:trHeight w:val="283"/>
        </w:trPr>
        <w:tc>
          <w:tcPr>
            <w:tcW w:w="2948" w:type="dxa"/>
          </w:tcPr>
          <w:p w14:paraId="28588AA5" w14:textId="31707EC6" w:rsidR="00A80A93" w:rsidRPr="00934136" w:rsidRDefault="00A80A93" w:rsidP="00A80A93">
            <w:pPr>
              <w:pStyle w:val="TableText"/>
            </w:pPr>
            <w:r w:rsidRPr="00934136">
              <w:t>Professional engineers</w:t>
            </w:r>
          </w:p>
        </w:tc>
        <w:tc>
          <w:tcPr>
            <w:tcW w:w="1021" w:type="dxa"/>
          </w:tcPr>
          <w:p w14:paraId="67CB988E" w14:textId="2566A7C6" w:rsidR="00A80A93" w:rsidRPr="00934136" w:rsidRDefault="00A80A93" w:rsidP="00A80A93">
            <w:pPr>
              <w:pStyle w:val="TableTextRight"/>
            </w:pPr>
            <w:r w:rsidRPr="00934136">
              <w:t>1,395</w:t>
            </w:r>
          </w:p>
        </w:tc>
        <w:tc>
          <w:tcPr>
            <w:tcW w:w="1021" w:type="dxa"/>
          </w:tcPr>
          <w:p w14:paraId="08A87DC5" w14:textId="043FA0CB" w:rsidR="00A80A93" w:rsidRPr="00934136" w:rsidRDefault="00A80A93" w:rsidP="00A80A93">
            <w:pPr>
              <w:pStyle w:val="TableTextRight"/>
            </w:pPr>
            <w:r w:rsidRPr="00934136">
              <w:t>5,561</w:t>
            </w:r>
          </w:p>
        </w:tc>
        <w:tc>
          <w:tcPr>
            <w:tcW w:w="1021" w:type="dxa"/>
          </w:tcPr>
          <w:p w14:paraId="42ED9D8C" w14:textId="0E3D8D17" w:rsidR="00A80A93" w:rsidRPr="00934136" w:rsidRDefault="00A80A93" w:rsidP="00A80A93">
            <w:pPr>
              <w:pStyle w:val="TableTextRight"/>
            </w:pPr>
            <w:r w:rsidRPr="00934136">
              <w:t>4,175</w:t>
            </w:r>
          </w:p>
        </w:tc>
        <w:tc>
          <w:tcPr>
            <w:tcW w:w="1021" w:type="dxa"/>
          </w:tcPr>
          <w:p w14:paraId="30C1D96E" w14:textId="2A1CCA39" w:rsidR="00A80A93" w:rsidRPr="00934136" w:rsidRDefault="00A80A93" w:rsidP="00A80A93">
            <w:pPr>
              <w:pStyle w:val="TableTextRight"/>
            </w:pPr>
            <w:r w:rsidRPr="00934136">
              <w:t>4,571</w:t>
            </w:r>
          </w:p>
        </w:tc>
        <w:tc>
          <w:tcPr>
            <w:tcW w:w="1021" w:type="dxa"/>
          </w:tcPr>
          <w:p w14:paraId="17BF1513" w14:textId="22D2A4B2" w:rsidR="00A80A93" w:rsidRPr="00934136" w:rsidRDefault="00A80A93" w:rsidP="00A80A93">
            <w:pPr>
              <w:pStyle w:val="TableTextRight"/>
            </w:pPr>
            <w:r w:rsidRPr="00934136">
              <w:t>9,657</w:t>
            </w:r>
          </w:p>
        </w:tc>
        <w:tc>
          <w:tcPr>
            <w:tcW w:w="1021" w:type="dxa"/>
          </w:tcPr>
          <w:p w14:paraId="189831A7" w14:textId="07225A3D" w:rsidR="00A80A93" w:rsidRPr="00934136" w:rsidRDefault="00A80A93" w:rsidP="00A80A93">
            <w:pPr>
              <w:pStyle w:val="TableTextRight"/>
            </w:pPr>
            <w:r w:rsidRPr="00934136">
              <w:t>13,293</w:t>
            </w:r>
          </w:p>
        </w:tc>
      </w:tr>
      <w:tr w:rsidR="00A80A93" w:rsidRPr="00934136" w14:paraId="6169F44E" w14:textId="77777777" w:rsidTr="00A80A93">
        <w:trPr>
          <w:trHeight w:val="283"/>
        </w:trPr>
        <w:tc>
          <w:tcPr>
            <w:tcW w:w="9074" w:type="dxa"/>
            <w:gridSpan w:val="7"/>
            <w:shd w:val="clear" w:color="auto" w:fill="BCCAE5"/>
          </w:tcPr>
          <w:p w14:paraId="616E596F" w14:textId="531980F3" w:rsidR="00A80A93" w:rsidRPr="00934136" w:rsidRDefault="00A80A93" w:rsidP="00A80A93">
            <w:pPr>
              <w:pStyle w:val="TableTextBold"/>
            </w:pPr>
            <w:r w:rsidRPr="00934136">
              <w:t>Consumer Affairs Victoria administered schemes</w:t>
            </w:r>
          </w:p>
        </w:tc>
      </w:tr>
      <w:tr w:rsidR="00A80A93" w:rsidRPr="00934136" w14:paraId="78C94FC9" w14:textId="77777777" w:rsidTr="00344571">
        <w:trPr>
          <w:trHeight w:val="283"/>
        </w:trPr>
        <w:tc>
          <w:tcPr>
            <w:tcW w:w="2948" w:type="dxa"/>
          </w:tcPr>
          <w:p w14:paraId="4CDD5ECD" w14:textId="2D09EDF0" w:rsidR="00A80A93" w:rsidRPr="00934136" w:rsidRDefault="00A80A93" w:rsidP="00A80A93">
            <w:pPr>
              <w:pStyle w:val="TableText"/>
            </w:pPr>
            <w:r w:rsidRPr="00934136">
              <w:t>Incorporated associations</w:t>
            </w:r>
          </w:p>
        </w:tc>
        <w:tc>
          <w:tcPr>
            <w:tcW w:w="1021" w:type="dxa"/>
          </w:tcPr>
          <w:p w14:paraId="638AC20D" w14:textId="3BF05E9B" w:rsidR="00A80A93" w:rsidRPr="00934136" w:rsidRDefault="00A80A93" w:rsidP="00A80A93">
            <w:pPr>
              <w:pStyle w:val="TableTextRight"/>
            </w:pPr>
            <w:r w:rsidRPr="00934136">
              <w:t>1,537</w:t>
            </w:r>
          </w:p>
        </w:tc>
        <w:tc>
          <w:tcPr>
            <w:tcW w:w="1021" w:type="dxa"/>
          </w:tcPr>
          <w:p w14:paraId="5D4355EC" w14:textId="7A9E85F4" w:rsidR="00A80A93" w:rsidRPr="00934136" w:rsidRDefault="00A80A93" w:rsidP="00A80A93">
            <w:pPr>
              <w:pStyle w:val="TableTextRight"/>
            </w:pPr>
            <w:r w:rsidRPr="00934136">
              <w:t>1,806</w:t>
            </w:r>
          </w:p>
        </w:tc>
        <w:tc>
          <w:tcPr>
            <w:tcW w:w="1021" w:type="dxa"/>
          </w:tcPr>
          <w:p w14:paraId="7B441978" w14:textId="61C5A6BF" w:rsidR="00A80A93" w:rsidRPr="00934136" w:rsidRDefault="00A80A93" w:rsidP="00A80A93">
            <w:pPr>
              <w:pStyle w:val="TableTextRight"/>
            </w:pPr>
            <w:r w:rsidRPr="00934136">
              <w:t>1,957</w:t>
            </w:r>
          </w:p>
        </w:tc>
        <w:tc>
          <w:tcPr>
            <w:tcW w:w="1021" w:type="dxa"/>
          </w:tcPr>
          <w:p w14:paraId="7E920F85" w14:textId="2F7178D9" w:rsidR="00A80A93" w:rsidRPr="00934136" w:rsidRDefault="00A80A93" w:rsidP="00A80A93">
            <w:pPr>
              <w:pStyle w:val="TableTextRight"/>
            </w:pPr>
            <w:r w:rsidRPr="00934136">
              <w:t>41,590</w:t>
            </w:r>
          </w:p>
        </w:tc>
        <w:tc>
          <w:tcPr>
            <w:tcW w:w="1021" w:type="dxa"/>
          </w:tcPr>
          <w:p w14:paraId="446A5621" w14:textId="44957289" w:rsidR="00A80A93" w:rsidRPr="00934136" w:rsidRDefault="00A80A93" w:rsidP="00A80A93">
            <w:pPr>
              <w:pStyle w:val="TableTextRight"/>
            </w:pPr>
            <w:r w:rsidRPr="00934136">
              <w:t>42,966</w:t>
            </w:r>
          </w:p>
        </w:tc>
        <w:tc>
          <w:tcPr>
            <w:tcW w:w="1021" w:type="dxa"/>
          </w:tcPr>
          <w:p w14:paraId="3E7710B9" w14:textId="270E32A4" w:rsidR="00A80A93" w:rsidRPr="00934136" w:rsidRDefault="00A80A93" w:rsidP="00A80A93">
            <w:pPr>
              <w:pStyle w:val="TableTextRight"/>
            </w:pPr>
            <w:r w:rsidRPr="00934136">
              <w:t>43,698</w:t>
            </w:r>
          </w:p>
        </w:tc>
      </w:tr>
      <w:tr w:rsidR="00A80A93" w:rsidRPr="00934136" w14:paraId="3C8E8D49" w14:textId="77777777" w:rsidTr="00344571">
        <w:trPr>
          <w:trHeight w:val="283"/>
        </w:trPr>
        <w:tc>
          <w:tcPr>
            <w:tcW w:w="2948" w:type="dxa"/>
          </w:tcPr>
          <w:p w14:paraId="5E06D644" w14:textId="738EF39E" w:rsidR="00A80A93" w:rsidRPr="00934136" w:rsidRDefault="00A80A93" w:rsidP="00A80A93">
            <w:pPr>
              <w:pStyle w:val="TableText"/>
            </w:pPr>
            <w:r w:rsidRPr="00934136">
              <w:t>Co-operatives</w:t>
            </w:r>
          </w:p>
        </w:tc>
        <w:tc>
          <w:tcPr>
            <w:tcW w:w="1021" w:type="dxa"/>
          </w:tcPr>
          <w:p w14:paraId="4756DF78" w14:textId="7833676F" w:rsidR="00A80A93" w:rsidRPr="00934136" w:rsidRDefault="00A80A93" w:rsidP="00A80A93">
            <w:pPr>
              <w:pStyle w:val="TableTextRight"/>
            </w:pPr>
            <w:r w:rsidRPr="00934136">
              <w:t>33</w:t>
            </w:r>
          </w:p>
        </w:tc>
        <w:tc>
          <w:tcPr>
            <w:tcW w:w="1021" w:type="dxa"/>
          </w:tcPr>
          <w:p w14:paraId="6AC7E698" w14:textId="06A2ADDE" w:rsidR="00A80A93" w:rsidRPr="00934136" w:rsidRDefault="00A80A93" w:rsidP="00A80A93">
            <w:pPr>
              <w:pStyle w:val="TableTextRight"/>
            </w:pPr>
            <w:r w:rsidRPr="00934136">
              <w:t>34</w:t>
            </w:r>
          </w:p>
        </w:tc>
        <w:tc>
          <w:tcPr>
            <w:tcW w:w="1021" w:type="dxa"/>
          </w:tcPr>
          <w:p w14:paraId="11E6338E" w14:textId="2EA03A77" w:rsidR="00A80A93" w:rsidRPr="00934136" w:rsidRDefault="00A80A93" w:rsidP="00A80A93">
            <w:pPr>
              <w:pStyle w:val="TableTextRight"/>
            </w:pPr>
            <w:r w:rsidRPr="00934136">
              <w:t>19</w:t>
            </w:r>
          </w:p>
        </w:tc>
        <w:tc>
          <w:tcPr>
            <w:tcW w:w="1021" w:type="dxa"/>
          </w:tcPr>
          <w:p w14:paraId="47549C70" w14:textId="2C7327E1" w:rsidR="00A80A93" w:rsidRPr="00934136" w:rsidRDefault="00A80A93" w:rsidP="00A80A93">
            <w:pPr>
              <w:pStyle w:val="TableTextRight"/>
            </w:pPr>
            <w:r w:rsidRPr="00934136">
              <w:t>508</w:t>
            </w:r>
          </w:p>
        </w:tc>
        <w:tc>
          <w:tcPr>
            <w:tcW w:w="1021" w:type="dxa"/>
          </w:tcPr>
          <w:p w14:paraId="140243F7" w14:textId="68666453" w:rsidR="00A80A93" w:rsidRPr="00934136" w:rsidRDefault="00A80A93" w:rsidP="00A80A93">
            <w:pPr>
              <w:pStyle w:val="TableTextRight"/>
            </w:pPr>
            <w:r w:rsidRPr="00934136">
              <w:t>505</w:t>
            </w:r>
          </w:p>
        </w:tc>
        <w:tc>
          <w:tcPr>
            <w:tcW w:w="1021" w:type="dxa"/>
          </w:tcPr>
          <w:p w14:paraId="35F614F3" w14:textId="60E6C5A4" w:rsidR="00A80A93" w:rsidRPr="00934136" w:rsidRDefault="00A80A93" w:rsidP="00A80A93">
            <w:pPr>
              <w:pStyle w:val="TableTextRight"/>
            </w:pPr>
            <w:r w:rsidRPr="00934136">
              <w:t>501</w:t>
            </w:r>
          </w:p>
        </w:tc>
      </w:tr>
      <w:tr w:rsidR="00A80A93" w:rsidRPr="00934136" w14:paraId="52A076B6" w14:textId="77777777" w:rsidTr="00344571">
        <w:trPr>
          <w:trHeight w:val="283"/>
        </w:trPr>
        <w:tc>
          <w:tcPr>
            <w:tcW w:w="2948" w:type="dxa"/>
          </w:tcPr>
          <w:p w14:paraId="43CF0FA6" w14:textId="78E099DF" w:rsidR="00A80A93" w:rsidRPr="00934136" w:rsidRDefault="00A80A93" w:rsidP="00A80A93">
            <w:pPr>
              <w:pStyle w:val="TableText"/>
            </w:pPr>
            <w:r w:rsidRPr="00934136">
              <w:t>Fundraisers</w:t>
            </w:r>
          </w:p>
        </w:tc>
        <w:tc>
          <w:tcPr>
            <w:tcW w:w="1021" w:type="dxa"/>
          </w:tcPr>
          <w:p w14:paraId="79981CE2" w14:textId="3E607851" w:rsidR="00A80A93" w:rsidRPr="00934136" w:rsidRDefault="00A80A93" w:rsidP="00A80A93">
            <w:pPr>
              <w:pStyle w:val="TableTextRight"/>
            </w:pPr>
            <w:r w:rsidRPr="00934136">
              <w:t>534</w:t>
            </w:r>
          </w:p>
        </w:tc>
        <w:tc>
          <w:tcPr>
            <w:tcW w:w="1021" w:type="dxa"/>
          </w:tcPr>
          <w:p w14:paraId="5B98F22D" w14:textId="64203716" w:rsidR="00A80A93" w:rsidRPr="00934136" w:rsidRDefault="00A80A93" w:rsidP="00A80A93">
            <w:pPr>
              <w:pStyle w:val="TableTextRight"/>
            </w:pPr>
            <w:r w:rsidRPr="00934136">
              <w:t>497</w:t>
            </w:r>
          </w:p>
        </w:tc>
        <w:tc>
          <w:tcPr>
            <w:tcW w:w="1021" w:type="dxa"/>
          </w:tcPr>
          <w:p w14:paraId="158F8DBB" w14:textId="48EF0931" w:rsidR="00A80A93" w:rsidRPr="00934136" w:rsidRDefault="00A80A93" w:rsidP="00A80A93">
            <w:pPr>
              <w:pStyle w:val="TableTextRight"/>
            </w:pPr>
            <w:r w:rsidRPr="00934136">
              <w:t>415</w:t>
            </w:r>
          </w:p>
        </w:tc>
        <w:tc>
          <w:tcPr>
            <w:tcW w:w="1021" w:type="dxa"/>
          </w:tcPr>
          <w:p w14:paraId="3F3CE932" w14:textId="6492E911" w:rsidR="00A80A93" w:rsidRPr="00934136" w:rsidRDefault="00A80A93" w:rsidP="00A80A93">
            <w:pPr>
              <w:pStyle w:val="TableTextRight"/>
            </w:pPr>
            <w:r w:rsidRPr="00934136">
              <w:t>2,469</w:t>
            </w:r>
          </w:p>
        </w:tc>
        <w:tc>
          <w:tcPr>
            <w:tcW w:w="1021" w:type="dxa"/>
          </w:tcPr>
          <w:p w14:paraId="1ECAE7BA" w14:textId="01E193AF" w:rsidR="00A80A93" w:rsidRPr="00934136" w:rsidRDefault="00A80A93" w:rsidP="00A80A93">
            <w:pPr>
              <w:pStyle w:val="TableTextRight"/>
            </w:pPr>
            <w:r w:rsidRPr="00934136">
              <w:t>2,672</w:t>
            </w:r>
          </w:p>
        </w:tc>
        <w:tc>
          <w:tcPr>
            <w:tcW w:w="1021" w:type="dxa"/>
          </w:tcPr>
          <w:p w14:paraId="692885C3" w14:textId="6EAB57EA" w:rsidR="00A80A93" w:rsidRPr="00934136" w:rsidRDefault="00A80A93" w:rsidP="00A80A93">
            <w:pPr>
              <w:pStyle w:val="TableTextRight"/>
            </w:pPr>
            <w:r w:rsidRPr="00934136">
              <w:t>2,897</w:t>
            </w:r>
          </w:p>
        </w:tc>
      </w:tr>
      <w:tr w:rsidR="00A80A93" w:rsidRPr="00934136" w14:paraId="67148868" w14:textId="77777777" w:rsidTr="00344571">
        <w:trPr>
          <w:trHeight w:val="283"/>
        </w:trPr>
        <w:tc>
          <w:tcPr>
            <w:tcW w:w="2948" w:type="dxa"/>
          </w:tcPr>
          <w:p w14:paraId="70F6FB08" w14:textId="67D3E7D1" w:rsidR="00A80A93" w:rsidRPr="00934136" w:rsidRDefault="00A80A93" w:rsidP="00A80A93">
            <w:pPr>
              <w:pStyle w:val="TableText"/>
            </w:pPr>
            <w:r w:rsidRPr="00934136">
              <w:t>Patriotic funds</w:t>
            </w:r>
          </w:p>
        </w:tc>
        <w:tc>
          <w:tcPr>
            <w:tcW w:w="1021" w:type="dxa"/>
          </w:tcPr>
          <w:p w14:paraId="4E0956B8" w14:textId="5C5D2284" w:rsidR="00A80A93" w:rsidRPr="00934136" w:rsidRDefault="00A80A93" w:rsidP="00A80A93">
            <w:pPr>
              <w:pStyle w:val="TableTextRight"/>
            </w:pPr>
            <w:r w:rsidRPr="00934136">
              <w:t>1</w:t>
            </w:r>
          </w:p>
        </w:tc>
        <w:tc>
          <w:tcPr>
            <w:tcW w:w="1021" w:type="dxa"/>
          </w:tcPr>
          <w:p w14:paraId="5750B193" w14:textId="73F742F9" w:rsidR="00A80A93" w:rsidRPr="00934136" w:rsidRDefault="00A80A93" w:rsidP="00A80A93">
            <w:pPr>
              <w:pStyle w:val="TableTextRight"/>
            </w:pPr>
            <w:r w:rsidRPr="00934136">
              <w:t>0</w:t>
            </w:r>
          </w:p>
        </w:tc>
        <w:tc>
          <w:tcPr>
            <w:tcW w:w="1021" w:type="dxa"/>
          </w:tcPr>
          <w:p w14:paraId="4DB94159" w14:textId="4C047D50" w:rsidR="00A80A93" w:rsidRPr="00934136" w:rsidRDefault="00A80A93" w:rsidP="00A80A93">
            <w:pPr>
              <w:pStyle w:val="TableTextRight"/>
            </w:pPr>
            <w:r w:rsidRPr="00934136">
              <w:t>4</w:t>
            </w:r>
          </w:p>
        </w:tc>
        <w:tc>
          <w:tcPr>
            <w:tcW w:w="1021" w:type="dxa"/>
          </w:tcPr>
          <w:p w14:paraId="570CD137" w14:textId="65D3D212" w:rsidR="00A80A93" w:rsidRPr="00934136" w:rsidRDefault="00A80A93" w:rsidP="00A80A93">
            <w:pPr>
              <w:pStyle w:val="TableTextRight"/>
            </w:pPr>
            <w:r w:rsidRPr="00934136">
              <w:t>389</w:t>
            </w:r>
          </w:p>
        </w:tc>
        <w:tc>
          <w:tcPr>
            <w:tcW w:w="1021" w:type="dxa"/>
          </w:tcPr>
          <w:p w14:paraId="21C31BAD" w14:textId="451933EC" w:rsidR="00A80A93" w:rsidRPr="00934136" w:rsidRDefault="00A80A93" w:rsidP="00A80A93">
            <w:pPr>
              <w:pStyle w:val="TableTextRight"/>
            </w:pPr>
            <w:r w:rsidRPr="00934136">
              <w:t>377</w:t>
            </w:r>
          </w:p>
        </w:tc>
        <w:tc>
          <w:tcPr>
            <w:tcW w:w="1021" w:type="dxa"/>
          </w:tcPr>
          <w:p w14:paraId="55097684" w14:textId="0DC7CD7D" w:rsidR="00A80A93" w:rsidRPr="00934136" w:rsidRDefault="00A80A93" w:rsidP="00A80A93">
            <w:pPr>
              <w:pStyle w:val="TableTextRight"/>
            </w:pPr>
            <w:r w:rsidRPr="00934136">
              <w:t>379</w:t>
            </w:r>
          </w:p>
        </w:tc>
      </w:tr>
      <w:tr w:rsidR="00A80A93" w:rsidRPr="00934136" w14:paraId="0210A5D9" w14:textId="77777777" w:rsidTr="00344571">
        <w:trPr>
          <w:trHeight w:val="283"/>
        </w:trPr>
        <w:tc>
          <w:tcPr>
            <w:tcW w:w="2948" w:type="dxa"/>
          </w:tcPr>
          <w:p w14:paraId="19C1F18C" w14:textId="695A27C9" w:rsidR="00A80A93" w:rsidRPr="00934136" w:rsidRDefault="00A80A93" w:rsidP="00A80A93">
            <w:pPr>
              <w:pStyle w:val="TableText"/>
            </w:pPr>
            <w:r w:rsidRPr="00934136">
              <w:t>Limited partnerships</w:t>
            </w:r>
          </w:p>
        </w:tc>
        <w:tc>
          <w:tcPr>
            <w:tcW w:w="1021" w:type="dxa"/>
          </w:tcPr>
          <w:p w14:paraId="405C53B0" w14:textId="3F8B82C7" w:rsidR="00A80A93" w:rsidRPr="00934136" w:rsidRDefault="00A80A93" w:rsidP="00A80A93">
            <w:pPr>
              <w:pStyle w:val="TableTextRight"/>
            </w:pPr>
            <w:r w:rsidRPr="00934136">
              <w:t>36</w:t>
            </w:r>
          </w:p>
        </w:tc>
        <w:tc>
          <w:tcPr>
            <w:tcW w:w="1021" w:type="dxa"/>
          </w:tcPr>
          <w:p w14:paraId="310359E2" w14:textId="2E8C8FD2" w:rsidR="00A80A93" w:rsidRPr="00934136" w:rsidRDefault="00A80A93" w:rsidP="00A80A93">
            <w:pPr>
              <w:pStyle w:val="TableTextRight"/>
            </w:pPr>
            <w:r w:rsidRPr="00934136">
              <w:t>33</w:t>
            </w:r>
          </w:p>
        </w:tc>
        <w:tc>
          <w:tcPr>
            <w:tcW w:w="1021" w:type="dxa"/>
          </w:tcPr>
          <w:p w14:paraId="689C0FDC" w14:textId="0FDCA4F5" w:rsidR="00A80A93" w:rsidRPr="00934136" w:rsidRDefault="00A80A93" w:rsidP="00A80A93">
            <w:pPr>
              <w:pStyle w:val="TableTextRight"/>
            </w:pPr>
            <w:r w:rsidRPr="00934136">
              <w:t>8</w:t>
            </w:r>
          </w:p>
        </w:tc>
        <w:tc>
          <w:tcPr>
            <w:tcW w:w="1021" w:type="dxa"/>
          </w:tcPr>
          <w:p w14:paraId="4619662E" w14:textId="0A21E3B3" w:rsidR="00A80A93" w:rsidRPr="00934136" w:rsidRDefault="00A80A93" w:rsidP="00A80A93">
            <w:pPr>
              <w:pStyle w:val="TableTextRight"/>
            </w:pPr>
            <w:r w:rsidRPr="00934136">
              <w:t>457</w:t>
            </w:r>
          </w:p>
        </w:tc>
        <w:tc>
          <w:tcPr>
            <w:tcW w:w="1021" w:type="dxa"/>
          </w:tcPr>
          <w:p w14:paraId="5771C4D5" w14:textId="2DB74258" w:rsidR="00A80A93" w:rsidRPr="00934136" w:rsidRDefault="00A80A93" w:rsidP="00A80A93">
            <w:pPr>
              <w:pStyle w:val="TableTextRight"/>
            </w:pPr>
            <w:r w:rsidRPr="00934136">
              <w:t>488</w:t>
            </w:r>
          </w:p>
        </w:tc>
        <w:tc>
          <w:tcPr>
            <w:tcW w:w="1021" w:type="dxa"/>
          </w:tcPr>
          <w:p w14:paraId="4298FC37" w14:textId="3FC1EBCD" w:rsidR="00A80A93" w:rsidRPr="00934136" w:rsidRDefault="00A80A93" w:rsidP="00A80A93">
            <w:pPr>
              <w:pStyle w:val="TableTextRight"/>
            </w:pPr>
            <w:r w:rsidRPr="00934136">
              <w:t>488</w:t>
            </w:r>
          </w:p>
        </w:tc>
      </w:tr>
      <w:tr w:rsidR="00A80A93" w:rsidRPr="00934136" w14:paraId="0B2B7451" w14:textId="77777777" w:rsidTr="00344571">
        <w:trPr>
          <w:trHeight w:val="283"/>
        </w:trPr>
        <w:tc>
          <w:tcPr>
            <w:tcW w:w="2948" w:type="dxa"/>
          </w:tcPr>
          <w:p w14:paraId="53B71D78" w14:textId="01E609E4" w:rsidR="00A80A93" w:rsidRPr="00934136" w:rsidRDefault="00A80A93" w:rsidP="00A80A93">
            <w:pPr>
              <w:pStyle w:val="TableText"/>
            </w:pPr>
            <w:r w:rsidRPr="00934136">
              <w:t>Retirement villages</w:t>
            </w:r>
          </w:p>
        </w:tc>
        <w:tc>
          <w:tcPr>
            <w:tcW w:w="1021" w:type="dxa"/>
          </w:tcPr>
          <w:p w14:paraId="32F261CF" w14:textId="7A46AE25" w:rsidR="00A80A93" w:rsidRPr="00934136" w:rsidRDefault="00A80A93" w:rsidP="00A80A93">
            <w:pPr>
              <w:pStyle w:val="TableTextRight"/>
            </w:pPr>
            <w:r w:rsidRPr="00934136">
              <w:t>6</w:t>
            </w:r>
          </w:p>
        </w:tc>
        <w:tc>
          <w:tcPr>
            <w:tcW w:w="1021" w:type="dxa"/>
          </w:tcPr>
          <w:p w14:paraId="179F0B2F" w14:textId="30FA8566" w:rsidR="00A80A93" w:rsidRPr="00934136" w:rsidRDefault="00A80A93" w:rsidP="00A80A93">
            <w:pPr>
              <w:pStyle w:val="TableTextRight"/>
            </w:pPr>
            <w:r w:rsidRPr="00934136">
              <w:t>13</w:t>
            </w:r>
          </w:p>
        </w:tc>
        <w:tc>
          <w:tcPr>
            <w:tcW w:w="1021" w:type="dxa"/>
          </w:tcPr>
          <w:p w14:paraId="4B7CBA67" w14:textId="4570C8B3" w:rsidR="00A80A93" w:rsidRPr="00934136" w:rsidRDefault="00A80A93" w:rsidP="00A80A93">
            <w:pPr>
              <w:pStyle w:val="TableTextRight"/>
            </w:pPr>
            <w:r w:rsidRPr="00934136">
              <w:t>24</w:t>
            </w:r>
          </w:p>
        </w:tc>
        <w:tc>
          <w:tcPr>
            <w:tcW w:w="1021" w:type="dxa"/>
          </w:tcPr>
          <w:p w14:paraId="0B07E154" w14:textId="5D7438E5" w:rsidR="00A80A93" w:rsidRPr="00934136" w:rsidRDefault="00A80A93" w:rsidP="00A80A93">
            <w:pPr>
              <w:pStyle w:val="TableTextRight"/>
            </w:pPr>
            <w:r w:rsidRPr="00934136">
              <w:t>481</w:t>
            </w:r>
          </w:p>
        </w:tc>
        <w:tc>
          <w:tcPr>
            <w:tcW w:w="1021" w:type="dxa"/>
          </w:tcPr>
          <w:p w14:paraId="485C1A2C" w14:textId="75CDC62A" w:rsidR="00A80A93" w:rsidRPr="00934136" w:rsidRDefault="00A80A93" w:rsidP="00A80A93">
            <w:pPr>
              <w:pStyle w:val="TableTextRight"/>
            </w:pPr>
            <w:r w:rsidRPr="00934136">
              <w:t>476</w:t>
            </w:r>
          </w:p>
        </w:tc>
        <w:tc>
          <w:tcPr>
            <w:tcW w:w="1021" w:type="dxa"/>
          </w:tcPr>
          <w:p w14:paraId="1064EED7" w14:textId="6FD66EA5" w:rsidR="00A80A93" w:rsidRPr="00934136" w:rsidRDefault="00A80A93" w:rsidP="00A80A93">
            <w:pPr>
              <w:pStyle w:val="TableTextRight"/>
            </w:pPr>
            <w:r w:rsidRPr="00934136">
              <w:t>500</w:t>
            </w:r>
          </w:p>
        </w:tc>
      </w:tr>
      <w:tr w:rsidR="00A80A93" w:rsidRPr="00934136" w14:paraId="51312475" w14:textId="77777777" w:rsidTr="00344571">
        <w:trPr>
          <w:trHeight w:val="283"/>
        </w:trPr>
        <w:tc>
          <w:tcPr>
            <w:tcW w:w="2948" w:type="dxa"/>
          </w:tcPr>
          <w:p w14:paraId="1D1A0279" w14:textId="4273C77F" w:rsidR="00A80A93" w:rsidRPr="00934136" w:rsidRDefault="00A80A93" w:rsidP="00A80A93">
            <w:pPr>
              <w:pStyle w:val="TableText"/>
            </w:pPr>
            <w:r w:rsidRPr="00934136">
              <w:t>Funeral service providers</w:t>
            </w:r>
          </w:p>
        </w:tc>
        <w:tc>
          <w:tcPr>
            <w:tcW w:w="1021" w:type="dxa"/>
          </w:tcPr>
          <w:p w14:paraId="09DD9488" w14:textId="538BC722" w:rsidR="00A80A93" w:rsidRPr="00934136" w:rsidRDefault="00A80A93" w:rsidP="00A80A93">
            <w:pPr>
              <w:pStyle w:val="TableTextRight"/>
            </w:pPr>
            <w:r w:rsidRPr="00934136">
              <w:t>5</w:t>
            </w:r>
          </w:p>
        </w:tc>
        <w:tc>
          <w:tcPr>
            <w:tcW w:w="1021" w:type="dxa"/>
          </w:tcPr>
          <w:p w14:paraId="1497DE34" w14:textId="61AA6A61" w:rsidR="00A80A93" w:rsidRPr="00934136" w:rsidRDefault="00A80A93" w:rsidP="00A80A93">
            <w:pPr>
              <w:pStyle w:val="TableTextRight"/>
            </w:pPr>
            <w:r w:rsidRPr="00934136">
              <w:t>10</w:t>
            </w:r>
          </w:p>
        </w:tc>
        <w:tc>
          <w:tcPr>
            <w:tcW w:w="1021" w:type="dxa"/>
          </w:tcPr>
          <w:p w14:paraId="21343E98" w14:textId="1DB7D46B" w:rsidR="00A80A93" w:rsidRPr="00934136" w:rsidRDefault="00A80A93" w:rsidP="00A80A93">
            <w:pPr>
              <w:pStyle w:val="TableTextRight"/>
            </w:pPr>
            <w:r w:rsidRPr="00934136">
              <w:t>7</w:t>
            </w:r>
          </w:p>
        </w:tc>
        <w:tc>
          <w:tcPr>
            <w:tcW w:w="1021" w:type="dxa"/>
          </w:tcPr>
          <w:p w14:paraId="6C520E8E" w14:textId="724E9C5D" w:rsidR="00A80A93" w:rsidRPr="00934136" w:rsidRDefault="00A80A93" w:rsidP="00A80A93">
            <w:pPr>
              <w:pStyle w:val="TableTextRight"/>
            </w:pPr>
            <w:r w:rsidRPr="00934136">
              <w:t>525</w:t>
            </w:r>
          </w:p>
        </w:tc>
        <w:tc>
          <w:tcPr>
            <w:tcW w:w="1021" w:type="dxa"/>
          </w:tcPr>
          <w:p w14:paraId="2305466A" w14:textId="1C71B7AA" w:rsidR="00A80A93" w:rsidRPr="00934136" w:rsidRDefault="00A80A93" w:rsidP="00A80A93">
            <w:pPr>
              <w:pStyle w:val="TableTextRight"/>
            </w:pPr>
            <w:r w:rsidRPr="00934136">
              <w:t>535</w:t>
            </w:r>
          </w:p>
        </w:tc>
        <w:tc>
          <w:tcPr>
            <w:tcW w:w="1021" w:type="dxa"/>
          </w:tcPr>
          <w:p w14:paraId="1C6B087B" w14:textId="783352DE" w:rsidR="00A80A93" w:rsidRPr="00934136" w:rsidRDefault="00A80A93" w:rsidP="00A80A93">
            <w:pPr>
              <w:pStyle w:val="TableTextRight"/>
            </w:pPr>
            <w:r w:rsidRPr="00934136">
              <w:t>542</w:t>
            </w:r>
          </w:p>
        </w:tc>
      </w:tr>
      <w:tr w:rsidR="00A80A93" w:rsidRPr="00934136" w14:paraId="1FE3F265" w14:textId="77777777" w:rsidTr="00344571">
        <w:trPr>
          <w:trHeight w:val="283"/>
        </w:trPr>
        <w:tc>
          <w:tcPr>
            <w:tcW w:w="2948" w:type="dxa"/>
          </w:tcPr>
          <w:p w14:paraId="5613B274" w14:textId="63FEFF0A" w:rsidR="00A80A93" w:rsidRPr="00934136" w:rsidRDefault="00A80A93" w:rsidP="00A80A93">
            <w:pPr>
              <w:pStyle w:val="TableText"/>
            </w:pPr>
            <w:r w:rsidRPr="00934136">
              <w:t>Rental non-compliance</w:t>
            </w:r>
          </w:p>
        </w:tc>
        <w:tc>
          <w:tcPr>
            <w:tcW w:w="1021" w:type="dxa"/>
          </w:tcPr>
          <w:p w14:paraId="4CB1E83A" w14:textId="488B0E28" w:rsidR="00A80A93" w:rsidRPr="00934136" w:rsidRDefault="00A80A93" w:rsidP="00A80A93">
            <w:pPr>
              <w:pStyle w:val="TableTextRight"/>
            </w:pPr>
            <w:r w:rsidRPr="00934136">
              <w:t xml:space="preserve">N/A </w:t>
            </w:r>
          </w:p>
        </w:tc>
        <w:tc>
          <w:tcPr>
            <w:tcW w:w="1021" w:type="dxa"/>
          </w:tcPr>
          <w:p w14:paraId="6026DBF9" w14:textId="19AAE11C" w:rsidR="00A80A93" w:rsidRPr="00934136" w:rsidRDefault="00A80A93" w:rsidP="00A80A93">
            <w:pPr>
              <w:pStyle w:val="TableTextRight"/>
            </w:pPr>
            <w:r w:rsidRPr="00934136">
              <w:t xml:space="preserve">N/A </w:t>
            </w:r>
          </w:p>
        </w:tc>
        <w:tc>
          <w:tcPr>
            <w:tcW w:w="1021" w:type="dxa"/>
          </w:tcPr>
          <w:p w14:paraId="4DD1D6AB" w14:textId="4B8ABB13" w:rsidR="00A80A93" w:rsidRPr="00934136" w:rsidRDefault="00A80A93" w:rsidP="00A80A93">
            <w:pPr>
              <w:pStyle w:val="TableTextRight"/>
            </w:pPr>
            <w:r w:rsidRPr="00934136">
              <w:t xml:space="preserve">N/A </w:t>
            </w:r>
          </w:p>
        </w:tc>
        <w:tc>
          <w:tcPr>
            <w:tcW w:w="1021" w:type="dxa"/>
          </w:tcPr>
          <w:p w14:paraId="06253797" w14:textId="2437A1D1" w:rsidR="00A80A93" w:rsidRPr="00934136" w:rsidRDefault="00A80A93" w:rsidP="00A80A93">
            <w:pPr>
              <w:pStyle w:val="TableTextRight"/>
            </w:pPr>
            <w:r w:rsidRPr="00934136">
              <w:t>13</w:t>
            </w:r>
          </w:p>
        </w:tc>
        <w:tc>
          <w:tcPr>
            <w:tcW w:w="1021" w:type="dxa"/>
          </w:tcPr>
          <w:p w14:paraId="5CD24AAF" w14:textId="0547A792" w:rsidR="00A80A93" w:rsidRPr="00934136" w:rsidRDefault="00A80A93" w:rsidP="00A80A93">
            <w:pPr>
              <w:pStyle w:val="TableTextRight"/>
            </w:pPr>
            <w:r w:rsidRPr="00934136">
              <w:t>16</w:t>
            </w:r>
          </w:p>
        </w:tc>
        <w:tc>
          <w:tcPr>
            <w:tcW w:w="1021" w:type="dxa"/>
          </w:tcPr>
          <w:p w14:paraId="0A880993" w14:textId="28F43AF2" w:rsidR="00A80A93" w:rsidRPr="00934136" w:rsidRDefault="00A80A93" w:rsidP="00A80A93">
            <w:pPr>
              <w:pStyle w:val="TableTextRight"/>
            </w:pPr>
            <w:r w:rsidRPr="00934136">
              <w:t>20</w:t>
            </w:r>
          </w:p>
        </w:tc>
      </w:tr>
    </w:tbl>
    <w:p w14:paraId="1A81DC7F" w14:textId="77777777" w:rsidR="006157B7" w:rsidRPr="006157B7" w:rsidRDefault="006157B7" w:rsidP="006157B7">
      <w:pPr>
        <w:pStyle w:val="BodyText"/>
      </w:pPr>
      <w:r w:rsidRPr="006157B7">
        <w:br w:type="page"/>
      </w:r>
    </w:p>
    <w:p w14:paraId="42CEFA76" w14:textId="263D58BC" w:rsidR="005D12F7" w:rsidRPr="00934136" w:rsidRDefault="005D12F7" w:rsidP="005D12F7">
      <w:pPr>
        <w:pStyle w:val="Heading3"/>
      </w:pPr>
      <w:bookmarkStart w:id="10" w:name="_Toc181015736"/>
      <w:r w:rsidRPr="00934136">
        <w:lastRenderedPageBreak/>
        <w:t>CAV is a trusted regulator</w:t>
      </w:r>
      <w:bookmarkEnd w:id="10"/>
    </w:p>
    <w:p w14:paraId="196B535E" w14:textId="77777777" w:rsidR="005D12F7" w:rsidRPr="00934136" w:rsidRDefault="005D12F7" w:rsidP="005D12F7">
      <w:pPr>
        <w:pStyle w:val="Heading4"/>
      </w:pPr>
      <w:r w:rsidRPr="00934136">
        <w:t>Establishment within the new department</w:t>
      </w:r>
    </w:p>
    <w:p w14:paraId="4569F01A" w14:textId="666281A5" w:rsidR="005D12F7" w:rsidRPr="00934136" w:rsidRDefault="005D12F7" w:rsidP="005D12F7">
      <w:pPr>
        <w:pStyle w:val="BodyText"/>
      </w:pPr>
      <w:r w:rsidRPr="00934136">
        <w:t>The creation of DGS in January 2023 b</w:t>
      </w:r>
      <w:r w:rsidR="0019153A">
        <w:t>r</w:t>
      </w:r>
      <w:r w:rsidRPr="00934136">
        <w:t>ought together government services to improve Victorians’ experience of interacting with government, with an emphasis on digital transformation as a critical development for serving the community. The department is doing this by connecting and digitising systems and platforms across state and local government as well as streamlining corporate and procurement services.</w:t>
      </w:r>
    </w:p>
    <w:p w14:paraId="0C2CDCB5" w14:textId="77777777" w:rsidR="005D12F7" w:rsidRPr="00934136" w:rsidRDefault="005D12F7" w:rsidP="005D12F7">
      <w:pPr>
        <w:pStyle w:val="BodyText"/>
      </w:pPr>
      <w:r w:rsidRPr="00934136">
        <w:t>During 2023–24, CAV was located within the Customer &amp; Regulatory Services group. The group’s priorities were policy and regulation to support responsive and accountable services and improve satisfaction and productivity.</w:t>
      </w:r>
    </w:p>
    <w:p w14:paraId="301BB544" w14:textId="36EBBBFD" w:rsidR="005D12F7" w:rsidRPr="00934136" w:rsidRDefault="005D12F7" w:rsidP="005D12F7">
      <w:pPr>
        <w:pStyle w:val="BodyText"/>
      </w:pPr>
      <w:r w:rsidRPr="00934136">
        <w:t>Key DGS initiatives supported by CAV included the consolidation of government call centres and the</w:t>
      </w:r>
      <w:r w:rsidR="00934136" w:rsidRPr="00934136">
        <w:t> </w:t>
      </w:r>
      <w:r w:rsidRPr="00934136">
        <w:t>establishment of shared services. In April 2024, CAV’s Information and Dispute Services Centre (IDSC) joined the DGS Whole of Victorian Government Contact Centre, which provides the scale and</w:t>
      </w:r>
      <w:r w:rsidR="00934136" w:rsidRPr="00934136">
        <w:t> </w:t>
      </w:r>
      <w:r w:rsidRPr="00934136">
        <w:t>dedicated focus to drive improvements to customer service. Throughout the move, CAV staff maintained service levels to assist the public with information and advice about consumer and renting issues. In September 2023, CAV’s legal team moved to the DGS General Counsel’s office to support strategic shared services on legal issues for CAV and the broader department.</w:t>
      </w:r>
    </w:p>
    <w:p w14:paraId="3205BD4F" w14:textId="77777777" w:rsidR="005D12F7" w:rsidRPr="00934136" w:rsidRDefault="005D12F7" w:rsidP="005D12F7">
      <w:pPr>
        <w:pStyle w:val="Heading4"/>
      </w:pPr>
      <w:r w:rsidRPr="00934136">
        <w:t>Sex work decriminalisation</w:t>
      </w:r>
    </w:p>
    <w:p w14:paraId="213C3DBE" w14:textId="77777777" w:rsidR="005D12F7" w:rsidRPr="00934136" w:rsidRDefault="005D12F7" w:rsidP="005D12F7">
      <w:pPr>
        <w:pStyle w:val="BodyText"/>
      </w:pPr>
      <w:r w:rsidRPr="00934136">
        <w:t xml:space="preserve">Sex work decriminalisation ensures that sex work is safe work and just like any other work. It maximises sex workers’ safety, health and human rights, while also reducing stigma and fear of criminal repercussions. On 22 February 2022, the </w:t>
      </w:r>
      <w:r w:rsidRPr="00934136">
        <w:rPr>
          <w:rStyle w:val="Emphasis"/>
        </w:rPr>
        <w:t>Sex Work Decriminalisation Act 2022</w:t>
      </w:r>
      <w:r w:rsidRPr="00934136">
        <w:t xml:space="preserve"> was passed by the Victorian Parliament. The new laws recognise that sex work is legitimate work and is better regulated through standard business laws, like all other industries in the state.</w:t>
      </w:r>
    </w:p>
    <w:p w14:paraId="1F1964C9" w14:textId="77777777" w:rsidR="005D12F7" w:rsidRPr="00934136" w:rsidRDefault="005D12F7" w:rsidP="005D12F7">
      <w:pPr>
        <w:pStyle w:val="BodyText"/>
      </w:pPr>
      <w:r w:rsidRPr="00934136">
        <w:t xml:space="preserve">Decriminalisation of sex work in Victoria occurred in two stages to allow time to transition to a different model of regulation. The second stage of decriminalisation commenced on 1 December 2023 and included abolishing the sex work service provider licensing system by repealing the </w:t>
      </w:r>
      <w:r w:rsidRPr="00934136">
        <w:rPr>
          <w:rStyle w:val="Emphasis"/>
        </w:rPr>
        <w:t>Sex Work Act 1994</w:t>
      </w:r>
      <w:r w:rsidRPr="00934136">
        <w:t>, the establishment of appropriate liquor controls for the sex work industry and the removal of specific sex work industry controls.</w:t>
      </w:r>
    </w:p>
    <w:p w14:paraId="2C3C46CA" w14:textId="77777777" w:rsidR="005D12F7" w:rsidRPr="00934136" w:rsidRDefault="005D12F7" w:rsidP="005D12F7">
      <w:pPr>
        <w:pStyle w:val="Heading4"/>
      </w:pPr>
      <w:r w:rsidRPr="00934136">
        <w:t>Harnessing digital technologies</w:t>
      </w:r>
    </w:p>
    <w:p w14:paraId="1F749012" w14:textId="77777777" w:rsidR="005D12F7" w:rsidRPr="00934136" w:rsidRDefault="005D12F7" w:rsidP="005D12F7">
      <w:pPr>
        <w:pStyle w:val="BodyText"/>
      </w:pPr>
      <w:r w:rsidRPr="00934136">
        <w:t>CAV is committed to leveraging digital technologies to enhance services and optimise our data and resources. Our strategic objectives are supported by a series of key projects and this year saw the completion of the redevelopment of our website, the digitisation of forms and other digital upgrades linked to the licensing and registrations schemes that CAV oversees.</w:t>
      </w:r>
    </w:p>
    <w:p w14:paraId="55C7D077" w14:textId="0C97A75D" w:rsidR="005D12F7" w:rsidRPr="00934136" w:rsidRDefault="005D12F7" w:rsidP="005D12F7">
      <w:pPr>
        <w:pStyle w:val="BodyText"/>
      </w:pPr>
      <w:r w:rsidRPr="00934136">
        <w:t xml:space="preserve">Our website is a vital tool for providing consumers with information, services, and insights into their rights, while also helping businesses understand their obligations. In late 2023, CAV completed an </w:t>
      </w:r>
      <w:r w:rsidR="00934136" w:rsidRPr="00934136">
        <w:br/>
      </w:r>
      <w:r w:rsidRPr="00934136">
        <w:t>18-month project to redevelop the website to create a more user-centric platform with content that is easier to locate and comprehend. There has been a significant increase in traffic to the CAV website in 2023–24, with 7.21 million visits in 2023–24, which is 27 per cent higher than 2022–23. While this project is complete, we will continue to make ongoing improvements to our website.</w:t>
      </w:r>
    </w:p>
    <w:p w14:paraId="6D953B78" w14:textId="5B58C63E" w:rsidR="005D12F7" w:rsidRPr="00934136" w:rsidRDefault="005D12F7" w:rsidP="005D12F7">
      <w:pPr>
        <w:pStyle w:val="BodyText"/>
      </w:pPr>
      <w:r w:rsidRPr="00934136">
        <w:lastRenderedPageBreak/>
        <w:t>We also introduced new online forms that enable consumers to report underquoting, report issues with</w:t>
      </w:r>
      <w:r w:rsidR="00934136" w:rsidRPr="00934136">
        <w:t> </w:t>
      </w:r>
      <w:r w:rsidRPr="00934136">
        <w:t>advertised rental properties and request an investigation of a rent increase.</w:t>
      </w:r>
    </w:p>
    <w:p w14:paraId="11176D6C" w14:textId="77777777" w:rsidR="005D12F7" w:rsidRPr="00934136" w:rsidRDefault="005D12F7" w:rsidP="005D12F7">
      <w:pPr>
        <w:pStyle w:val="BodyText"/>
      </w:pPr>
      <w:r w:rsidRPr="00934136">
        <w:t>We continued to implement changes to our licensing and registration online systems to make it easier and faster for users to manage their regulatory obligations with us. Our digital transformation strategy has allowed thousands of businesses and community organisations to manage all their regulatory transactions online.</w:t>
      </w:r>
    </w:p>
    <w:p w14:paraId="4ACD8168" w14:textId="77777777" w:rsidR="005D12F7" w:rsidRPr="00934136" w:rsidRDefault="005D12F7" w:rsidP="005D12F7">
      <w:pPr>
        <w:pStyle w:val="BodyText"/>
      </w:pPr>
      <w:r w:rsidRPr="00934136">
        <w:t>The registration schemes of CAV and the Business Licensing Authority have progressively moved from legacy systems to a single enterprise platform using Microsoft Dynamics. Users manage their licence or registration via a web-based transactional portal called myCAV.</w:t>
      </w:r>
    </w:p>
    <w:p w14:paraId="48EA3CF6" w14:textId="77777777" w:rsidR="005D12F7" w:rsidRPr="00934136" w:rsidRDefault="005D12F7" w:rsidP="005D12F7">
      <w:pPr>
        <w:pStyle w:val="BodyText"/>
      </w:pPr>
      <w:r w:rsidRPr="00934136">
        <w:t>In October 2023, we moved our Funeral Service Provider, Limited Partnership and Patriotic Fund schemes to Microsoft Dynamics and created new user-friendly online forms and easy to search public registers. Over 500 limited partnerships, 550 funeral service providers and nearly 400 patriotic funds can now manage their regulatory obligations with CAV online. New online registers now make it easier for anyone searching details about entities who are registered with CAV.</w:t>
      </w:r>
    </w:p>
    <w:p w14:paraId="5D317C76" w14:textId="39989D5C" w:rsidR="005D12F7" w:rsidRPr="00934136" w:rsidRDefault="005D12F7" w:rsidP="005D12F7">
      <w:pPr>
        <w:pStyle w:val="BodyText"/>
      </w:pPr>
      <w:r w:rsidRPr="00934136">
        <w:t>We also continued to upgrade our system architecture and make improvements to the ongoing stability of our online platforms. This investment in infrastructure provides our users with a faster, more</w:t>
      </w:r>
      <w:r w:rsidR="00934136" w:rsidRPr="00934136">
        <w:t> </w:t>
      </w:r>
      <w:r w:rsidRPr="00934136">
        <w:t>stable, and secure system to access their information.</w:t>
      </w:r>
    </w:p>
    <w:p w14:paraId="4E80A591" w14:textId="77777777" w:rsidR="005D12F7" w:rsidRPr="00934136" w:rsidRDefault="005D12F7" w:rsidP="005D12F7">
      <w:pPr>
        <w:pStyle w:val="Heading4"/>
      </w:pPr>
      <w:r w:rsidRPr="00934136">
        <w:t>Introduction of a First Nations Community Engagement Lead</w:t>
      </w:r>
    </w:p>
    <w:p w14:paraId="385C7854" w14:textId="77777777" w:rsidR="005D12F7" w:rsidRPr="00934136" w:rsidRDefault="005D12F7" w:rsidP="005D12F7">
      <w:pPr>
        <w:pStyle w:val="BodyText"/>
      </w:pPr>
      <w:r w:rsidRPr="00934136">
        <w:t>CAV introduced a new Aboriginal Community Engagement Lead role in October 2023. With a strong commitment to aligning our services to the needs of community and improving access to culturally safe and inclusive services for First Nations people, CAV rolled out mandatory Cultural Awareness Training to all staff. In addition, we partnered with the Wadawurrung Traditional Owners Aboriginal Corporation to introduce language into CAV’s dedicated help line and web resources.</w:t>
      </w:r>
    </w:p>
    <w:p w14:paraId="4E810163" w14:textId="77777777" w:rsidR="005D12F7" w:rsidRPr="00934136" w:rsidRDefault="005D12F7" w:rsidP="005D12F7">
      <w:pPr>
        <w:pStyle w:val="Heading4"/>
      </w:pPr>
      <w:r w:rsidRPr="00934136">
        <w:t>Stakeholder engagement</w:t>
      </w:r>
    </w:p>
    <w:p w14:paraId="461F08C2" w14:textId="718339DA" w:rsidR="005D12F7" w:rsidRPr="00934136" w:rsidRDefault="005D12F7" w:rsidP="005D12F7">
      <w:pPr>
        <w:pStyle w:val="BodyText"/>
      </w:pPr>
      <w:r w:rsidRPr="00934136">
        <w:t xml:space="preserve">As Victoria’s consumer regulator, CAV recognises that good stakeholder engagement is vital to achieving our goals and the effective delivery of services to the Victorian community. In consultation with key stakeholders, CAV developed </w:t>
      </w:r>
      <w:r w:rsidR="00B33030">
        <w:t xml:space="preserve">a new </w:t>
      </w:r>
      <w:r w:rsidRPr="00934136">
        <w:t>Stakeholder Engagement Framework, which is now published on our website. The Framework supports CAV’s ongoing commitment to engaging with those impacted by our work and will guide the delivery of best practice stakeholder engagement across the organisation.</w:t>
      </w:r>
    </w:p>
    <w:p w14:paraId="2F9FD37E" w14:textId="71504563" w:rsidR="005D12F7" w:rsidRPr="00934136" w:rsidRDefault="005D12F7" w:rsidP="005D12F7">
      <w:pPr>
        <w:pStyle w:val="BodyText"/>
      </w:pPr>
      <w:r w:rsidRPr="00934136">
        <w:t>CAV also established two standing forums as a mechanism to engage with key stakeholders on important issues. The Consumer and Renter Consultative Forum and the Housing and Property Advisory Forum held their first meetings in June 2024. These Forums aim to improve information sharing, engagement and build trust with CAV’s key stakeholders. Members include a diverse range of</w:t>
      </w:r>
      <w:r w:rsidR="00934136" w:rsidRPr="00934136">
        <w:t> </w:t>
      </w:r>
      <w:r w:rsidRPr="00934136">
        <w:t>consumer groups, community groups and industry organisations that have relevant experience and knowledge dealing with consumer, renting, housing and property issues and representing the interests of community members.</w:t>
      </w:r>
    </w:p>
    <w:p w14:paraId="2686FBE0" w14:textId="77777777" w:rsidR="006157B7" w:rsidRPr="006157B7" w:rsidRDefault="006157B7" w:rsidP="006157B7">
      <w:pPr>
        <w:pStyle w:val="BodyText"/>
      </w:pPr>
      <w:r w:rsidRPr="006157B7">
        <w:br w:type="page"/>
      </w:r>
    </w:p>
    <w:p w14:paraId="21815A86" w14:textId="136F0E5F" w:rsidR="005D12F7" w:rsidRPr="00934136" w:rsidRDefault="005D12F7" w:rsidP="005D12F7">
      <w:pPr>
        <w:pStyle w:val="Heading4"/>
      </w:pPr>
      <w:r w:rsidRPr="00934136">
        <w:lastRenderedPageBreak/>
        <w:t>Commencement of the Funded Services Program Reviews</w:t>
      </w:r>
    </w:p>
    <w:p w14:paraId="7A7A80AC" w14:textId="77777777" w:rsidR="005D12F7" w:rsidRPr="00934136" w:rsidRDefault="005D12F7" w:rsidP="005D12F7">
      <w:pPr>
        <w:pStyle w:val="BodyText"/>
      </w:pPr>
      <w:r w:rsidRPr="00934136">
        <w:t>In 2023–24, CAV commenced reviews of its community based financial counselling and renter services, along with the Domestic Building Legal Service (DBLS). These reviews will ensure that these critical services remain fit-for-purpose for all Victorians who need these supports. To provide certainty for service delivery partners and continuity in service delivery for consumers and renters, existing arrangements for these services were extended for 12 months. In 2023–24, CAV undertook desktop research and preliminary stakeholder interviews under the renter and financial counselling reviews. Under the DBLS review, CAV completed a desktop review, stakeholder interviews and released a discussion paper to gather feedback from stakeholders and the broader community. Each review will continue in 2024–25 and inform the development of revised service models.</w:t>
      </w:r>
    </w:p>
    <w:p w14:paraId="48A736F4" w14:textId="77777777" w:rsidR="005D12F7" w:rsidRPr="00934136" w:rsidRDefault="005D12F7" w:rsidP="005D12F7">
      <w:pPr>
        <w:pStyle w:val="Heading4"/>
      </w:pPr>
      <w:r w:rsidRPr="00934136">
        <w:t>Making compliance easier for community organisations</w:t>
      </w:r>
    </w:p>
    <w:p w14:paraId="51F3FAD8" w14:textId="77777777" w:rsidR="005D12F7" w:rsidRPr="00934136" w:rsidRDefault="005D12F7" w:rsidP="005D12F7">
      <w:pPr>
        <w:pStyle w:val="BodyText"/>
      </w:pPr>
      <w:r w:rsidRPr="00934136">
        <w:t>CAV regulates fundraisers, incorporated associations and co-operatives, which all play an important role in the community.</w:t>
      </w:r>
    </w:p>
    <w:p w14:paraId="17EAFFE5" w14:textId="49280E2F" w:rsidR="005D12F7" w:rsidRPr="00934136" w:rsidRDefault="005D12F7" w:rsidP="005D12F7">
      <w:pPr>
        <w:pStyle w:val="BodyText"/>
      </w:pPr>
      <w:r w:rsidRPr="00934136">
        <w:t>The Implementation Plan for the National Fundraising Principles was published on 1 March 2024. The</w:t>
      </w:r>
      <w:r w:rsidR="00934136" w:rsidRPr="00934136">
        <w:t> </w:t>
      </w:r>
      <w:r w:rsidRPr="00934136">
        <w:t>Principles set out the conduct expected from fundraisers in every jurisdiction across Australia, making regulatory compliance simpler and less prescriptive for charities already registered nationally, who are conducting fundraising appeals in Victoria.</w:t>
      </w:r>
    </w:p>
    <w:p w14:paraId="2D67BC59" w14:textId="77777777" w:rsidR="005D12F7" w:rsidRPr="00934136" w:rsidRDefault="005D12F7" w:rsidP="005D12F7">
      <w:pPr>
        <w:pStyle w:val="BodyText"/>
      </w:pPr>
      <w:r w:rsidRPr="00934136">
        <w:t>Following a public consultation process, the</w:t>
      </w:r>
      <w:r w:rsidRPr="00934136">
        <w:t> </w:t>
      </w:r>
      <w:r w:rsidRPr="00934136">
        <w:t>Victorian Government also introduced new incorporated association regulations, which came into effect on 18 November 2023. These included key reforms intended to modernise and simplify the regulatory scheme for incorporated associations and streamline reporting requirements for associations registered as charities nationally. New local regulations also came into effect for co-operatives on 17 February 2024. These new regulations prescribed matters including fees, penalties, and unsuitable names for co</w:t>
      </w:r>
      <w:r w:rsidRPr="00934136">
        <w:rPr>
          <w:rFonts w:ascii="Times New Roman" w:hAnsi="Times New Roman" w:cs="Times New Roman"/>
        </w:rPr>
        <w:t>‑</w:t>
      </w:r>
      <w:r w:rsidRPr="00934136">
        <w:t>operatives.</w:t>
      </w:r>
    </w:p>
    <w:p w14:paraId="7FB17918" w14:textId="77777777" w:rsidR="005D12F7" w:rsidRPr="00934136" w:rsidRDefault="005D12F7" w:rsidP="005D12F7">
      <w:pPr>
        <w:pStyle w:val="Heading4"/>
      </w:pPr>
      <w:r w:rsidRPr="00934136">
        <w:t>Victorian Property Fund grants</w:t>
      </w:r>
    </w:p>
    <w:p w14:paraId="567F9AF5" w14:textId="77777777" w:rsidR="005D12F7" w:rsidRPr="00934136" w:rsidRDefault="005D12F7" w:rsidP="005D12F7">
      <w:pPr>
        <w:pStyle w:val="BodyText"/>
      </w:pPr>
      <w:r w:rsidRPr="00934136">
        <w:t xml:space="preserve">The </w:t>
      </w:r>
      <w:r w:rsidRPr="00934136">
        <w:rPr>
          <w:rStyle w:val="Emphasis"/>
        </w:rPr>
        <w:t>Estate Agents Act 1980</w:t>
      </w:r>
      <w:r w:rsidRPr="00934136">
        <w:t xml:space="preserve"> allows the responsible minister to award grants from the Victorian Property Fund (VPF) for various legislated purposes after consultation with the department, any industry associations, and other government departments and organisations deemed appropriate.</w:t>
      </w:r>
    </w:p>
    <w:p w14:paraId="786891FA" w14:textId="77777777" w:rsidR="005D12F7" w:rsidRPr="00934136" w:rsidRDefault="005D12F7" w:rsidP="005D12F7">
      <w:pPr>
        <w:pStyle w:val="BodyText"/>
      </w:pPr>
      <w:r w:rsidRPr="00934136">
        <w:t>CAV administers the VPF Grants Program, including evaluating applications, making recommendations about proposals to the minister, and administering the grants following approval.</w:t>
      </w:r>
    </w:p>
    <w:p w14:paraId="5EB51004" w14:textId="77777777" w:rsidR="005D12F7" w:rsidRPr="00934136" w:rsidRDefault="005D12F7" w:rsidP="005D12F7">
      <w:pPr>
        <w:pStyle w:val="BodyText"/>
      </w:pPr>
      <w:r w:rsidRPr="00934136">
        <w:t>In 2023–24, $4.564 million was spent on new and existing grants to community organisations for renting services including information and advice, advocacy and legal assistance under the new Rental Stress Support Package (RSSP); estate agent professional development; community education on renting rights; and social housing development projects.</w:t>
      </w:r>
    </w:p>
    <w:p w14:paraId="63344E61" w14:textId="77777777" w:rsidR="005D12F7" w:rsidRPr="00934136" w:rsidRDefault="005D12F7" w:rsidP="005D12F7">
      <w:pPr>
        <w:pStyle w:val="BodyText"/>
      </w:pPr>
      <w:r w:rsidRPr="00934136">
        <w:t>During 2023–24, $11.8 million was awarded for 12 new grants to be delivered across 3 years, for services under the RSSP, improved digital service delivery to renters, estate agent professional development, improved awareness of owners corporation responsibilities and obligations, and residential tenancies dispute resolution services.</w:t>
      </w:r>
    </w:p>
    <w:p w14:paraId="49142D81" w14:textId="77777777" w:rsidR="006157B7" w:rsidRPr="006157B7" w:rsidRDefault="006157B7" w:rsidP="006157B7">
      <w:pPr>
        <w:pStyle w:val="BodyText"/>
      </w:pPr>
      <w:r w:rsidRPr="006157B7">
        <w:br w:type="page"/>
      </w:r>
    </w:p>
    <w:p w14:paraId="68AFD2C7" w14:textId="76D4497D" w:rsidR="005D12F7" w:rsidRPr="00934136" w:rsidRDefault="005D12F7" w:rsidP="005D12F7">
      <w:pPr>
        <w:pStyle w:val="BodyText"/>
      </w:pPr>
      <w:r w:rsidRPr="00934136">
        <w:lastRenderedPageBreak/>
        <w:t>The table below represents active grants in 2023–24 and grant expenditure by recipient and purpose.</w:t>
      </w:r>
    </w:p>
    <w:p w14:paraId="3C35F994" w14:textId="77777777" w:rsidR="005D12F7" w:rsidRPr="00934136" w:rsidRDefault="005D12F7" w:rsidP="005D12F7">
      <w:pPr>
        <w:pStyle w:val="Heading5"/>
      </w:pPr>
      <w:r w:rsidRPr="00934136">
        <w:t>Table: Grants in progress 2023–24</w:t>
      </w:r>
    </w:p>
    <w:tbl>
      <w:tblPr>
        <w:tblStyle w:val="TableGrid"/>
        <w:tblW w:w="9072" w:type="dxa"/>
        <w:tblLayout w:type="fixed"/>
        <w:tblLook w:val="06A0" w:firstRow="1" w:lastRow="0" w:firstColumn="1" w:lastColumn="0" w:noHBand="1" w:noVBand="1"/>
      </w:tblPr>
      <w:tblGrid>
        <w:gridCol w:w="2269"/>
        <w:gridCol w:w="4082"/>
        <w:gridCol w:w="1360"/>
        <w:gridCol w:w="1361"/>
      </w:tblGrid>
      <w:tr w:rsidR="00934136" w:rsidRPr="00934136" w14:paraId="7DC488DF" w14:textId="77777777" w:rsidTr="00934136">
        <w:trPr>
          <w:cnfStyle w:val="100000000000" w:firstRow="1" w:lastRow="0" w:firstColumn="0" w:lastColumn="0" w:oddVBand="0" w:evenVBand="0" w:oddHBand="0" w:evenHBand="0" w:firstRowFirstColumn="0" w:firstRowLastColumn="0" w:lastRowFirstColumn="0" w:lastRowLastColumn="0"/>
          <w:trHeight w:val="60"/>
          <w:tblHeader/>
        </w:trPr>
        <w:tc>
          <w:tcPr>
            <w:tcW w:w="2269" w:type="dxa"/>
          </w:tcPr>
          <w:p w14:paraId="10EEEE8B" w14:textId="48F455A9" w:rsidR="00934136" w:rsidRPr="00934136" w:rsidRDefault="00934136" w:rsidP="00934136">
            <w:pPr>
              <w:pStyle w:val="TableColHead"/>
            </w:pPr>
            <w:r w:rsidRPr="00934136">
              <w:t>Recipient</w:t>
            </w:r>
          </w:p>
        </w:tc>
        <w:tc>
          <w:tcPr>
            <w:tcW w:w="4082" w:type="dxa"/>
          </w:tcPr>
          <w:p w14:paraId="394203AB" w14:textId="35E4005F" w:rsidR="00934136" w:rsidRPr="00934136" w:rsidRDefault="00934136" w:rsidP="00934136">
            <w:pPr>
              <w:pStyle w:val="TableColHead"/>
            </w:pPr>
            <w:r w:rsidRPr="00934136">
              <w:t>Purpose</w:t>
            </w:r>
          </w:p>
        </w:tc>
        <w:tc>
          <w:tcPr>
            <w:tcW w:w="1360" w:type="dxa"/>
          </w:tcPr>
          <w:p w14:paraId="3493814D" w14:textId="19623899" w:rsidR="00934136" w:rsidRPr="00934136" w:rsidRDefault="00934136" w:rsidP="00934136">
            <w:pPr>
              <w:pStyle w:val="TableColHeadRight"/>
            </w:pPr>
            <w:r w:rsidRPr="00934136">
              <w:t>Total grant (ex GST)</w:t>
            </w:r>
          </w:p>
        </w:tc>
        <w:tc>
          <w:tcPr>
            <w:tcW w:w="1361" w:type="dxa"/>
          </w:tcPr>
          <w:p w14:paraId="19D43A12" w14:textId="7E89D602" w:rsidR="00934136" w:rsidRPr="00934136" w:rsidRDefault="00934136" w:rsidP="00934136">
            <w:pPr>
              <w:pStyle w:val="TableColHeadRight"/>
            </w:pPr>
            <w:r w:rsidRPr="00934136">
              <w:t>2023–24 expenditure (ex GST)</w:t>
            </w:r>
          </w:p>
        </w:tc>
      </w:tr>
      <w:tr w:rsidR="00FE12BA" w:rsidRPr="00934136" w14:paraId="2D61DDF6" w14:textId="77777777" w:rsidTr="00934136">
        <w:trPr>
          <w:trHeight w:val="60"/>
        </w:trPr>
        <w:tc>
          <w:tcPr>
            <w:tcW w:w="2269" w:type="dxa"/>
          </w:tcPr>
          <w:p w14:paraId="5BBEBCAD" w14:textId="2F20974D" w:rsidR="00FE12BA" w:rsidRPr="00847B87" w:rsidRDefault="00FE12BA" w:rsidP="00FE12BA">
            <w:pPr>
              <w:pStyle w:val="TableText"/>
            </w:pPr>
            <w:r w:rsidRPr="00FE12BA">
              <w:t>Tenants Victoria</w:t>
            </w:r>
          </w:p>
        </w:tc>
        <w:tc>
          <w:tcPr>
            <w:tcW w:w="4082" w:type="dxa"/>
          </w:tcPr>
          <w:p w14:paraId="3F59263E" w14:textId="5FA72E17" w:rsidR="00FE12BA" w:rsidRPr="002D477F" w:rsidRDefault="00FE12BA" w:rsidP="00FE12BA">
            <w:pPr>
              <w:pStyle w:val="TableText"/>
            </w:pPr>
            <w:r w:rsidRPr="001E65C9">
              <w:t>Educational funding – ‘my tenancy rights and</w:t>
            </w:r>
            <w:r>
              <w:t> </w:t>
            </w:r>
            <w:r w:rsidRPr="001E65C9">
              <w:t>responsibilities’</w:t>
            </w:r>
          </w:p>
        </w:tc>
        <w:tc>
          <w:tcPr>
            <w:tcW w:w="1360" w:type="dxa"/>
          </w:tcPr>
          <w:p w14:paraId="5A1CF9DB" w14:textId="505F8603" w:rsidR="00FE12BA" w:rsidRPr="00847B87" w:rsidRDefault="00FE12BA" w:rsidP="00FE12BA">
            <w:pPr>
              <w:pStyle w:val="TableTextRight"/>
            </w:pPr>
            <w:r w:rsidRPr="001E65C9">
              <w:t>$865,000</w:t>
            </w:r>
          </w:p>
        </w:tc>
        <w:tc>
          <w:tcPr>
            <w:tcW w:w="1361" w:type="dxa"/>
          </w:tcPr>
          <w:p w14:paraId="24AA1E87" w14:textId="7BA509C3" w:rsidR="00FE12BA" w:rsidRPr="00847B87" w:rsidRDefault="00FE12BA" w:rsidP="00FE12BA">
            <w:pPr>
              <w:pStyle w:val="TableTextRight"/>
            </w:pPr>
            <w:r w:rsidRPr="001E65C9">
              <w:t>$285,500</w:t>
            </w:r>
          </w:p>
        </w:tc>
      </w:tr>
      <w:tr w:rsidR="007A3757" w:rsidRPr="00934136" w14:paraId="3E8D88C0" w14:textId="77777777" w:rsidTr="00934136">
        <w:trPr>
          <w:trHeight w:val="60"/>
        </w:trPr>
        <w:tc>
          <w:tcPr>
            <w:tcW w:w="2269" w:type="dxa"/>
          </w:tcPr>
          <w:p w14:paraId="77C3C606" w14:textId="55689D5B" w:rsidR="007A3757" w:rsidRPr="00934136" w:rsidRDefault="007A3757" w:rsidP="007A3757">
            <w:pPr>
              <w:pStyle w:val="TableText"/>
            </w:pPr>
            <w:r w:rsidRPr="00847B87">
              <w:t>Victorian Council of</w:t>
            </w:r>
            <w:r w:rsidR="00AB40B8">
              <w:t> </w:t>
            </w:r>
            <w:r w:rsidRPr="00847B87">
              <w:t>Social Service</w:t>
            </w:r>
          </w:p>
        </w:tc>
        <w:tc>
          <w:tcPr>
            <w:tcW w:w="4082" w:type="dxa"/>
          </w:tcPr>
          <w:p w14:paraId="2C90CD7D" w14:textId="7D9ABDD8" w:rsidR="007A3757" w:rsidRPr="002D477F" w:rsidRDefault="007A3757" w:rsidP="007A3757">
            <w:pPr>
              <w:pStyle w:val="TableText"/>
            </w:pPr>
            <w:r w:rsidRPr="002D477F">
              <w:t>Educational funding – ‘delivering the promise of</w:t>
            </w:r>
            <w:r w:rsidR="002D477F" w:rsidRPr="002D477F">
              <w:t> </w:t>
            </w:r>
            <w:r w:rsidRPr="002D477F">
              <w:t>rental fairness’</w:t>
            </w:r>
          </w:p>
        </w:tc>
        <w:tc>
          <w:tcPr>
            <w:tcW w:w="1360" w:type="dxa"/>
          </w:tcPr>
          <w:p w14:paraId="4A28113F" w14:textId="03A0B708" w:rsidR="007A3757" w:rsidRPr="00934136" w:rsidRDefault="007A3757" w:rsidP="007A3757">
            <w:pPr>
              <w:pStyle w:val="TableTextRight"/>
            </w:pPr>
            <w:r w:rsidRPr="00847B87">
              <w:t>$265,337</w:t>
            </w:r>
          </w:p>
        </w:tc>
        <w:tc>
          <w:tcPr>
            <w:tcW w:w="1361" w:type="dxa"/>
          </w:tcPr>
          <w:p w14:paraId="7E2A79BF" w14:textId="05E4DD51" w:rsidR="007A3757" w:rsidRPr="00934136" w:rsidRDefault="007A3757" w:rsidP="007A3757">
            <w:pPr>
              <w:pStyle w:val="TableTextRight"/>
            </w:pPr>
            <w:r w:rsidRPr="00847B87">
              <w:t>$88,434</w:t>
            </w:r>
          </w:p>
        </w:tc>
      </w:tr>
      <w:tr w:rsidR="007A3757" w:rsidRPr="00934136" w14:paraId="6CB2F4F2" w14:textId="77777777" w:rsidTr="00934136">
        <w:trPr>
          <w:trHeight w:val="60"/>
        </w:trPr>
        <w:tc>
          <w:tcPr>
            <w:tcW w:w="2269" w:type="dxa"/>
          </w:tcPr>
          <w:p w14:paraId="56C40B09" w14:textId="38218010" w:rsidR="007A3757" w:rsidRPr="00934136" w:rsidRDefault="007A3757" w:rsidP="007A3757">
            <w:pPr>
              <w:pStyle w:val="TableText"/>
            </w:pPr>
            <w:r w:rsidRPr="00847B87">
              <w:t>Australian Livestock and</w:t>
            </w:r>
            <w:r w:rsidR="00FE12BA">
              <w:t> </w:t>
            </w:r>
            <w:r w:rsidRPr="00847B87">
              <w:t>Property Agents Association</w:t>
            </w:r>
          </w:p>
        </w:tc>
        <w:tc>
          <w:tcPr>
            <w:tcW w:w="4082" w:type="dxa"/>
          </w:tcPr>
          <w:p w14:paraId="39E83794" w14:textId="39895B30" w:rsidR="007A3757" w:rsidRPr="002D477F" w:rsidRDefault="007A3757" w:rsidP="007A3757">
            <w:pPr>
              <w:pStyle w:val="TableText"/>
            </w:pPr>
            <w:r w:rsidRPr="002D477F">
              <w:t>Estate Agent Professional Development Program 2023–25</w:t>
            </w:r>
          </w:p>
        </w:tc>
        <w:tc>
          <w:tcPr>
            <w:tcW w:w="1360" w:type="dxa"/>
          </w:tcPr>
          <w:p w14:paraId="1CA90468" w14:textId="61F54AE6" w:rsidR="007A3757" w:rsidRPr="00934136" w:rsidRDefault="007A3757" w:rsidP="007A3757">
            <w:pPr>
              <w:pStyle w:val="TableTextRight"/>
            </w:pPr>
            <w:r w:rsidRPr="00847B87">
              <w:t>$269,404</w:t>
            </w:r>
          </w:p>
        </w:tc>
        <w:tc>
          <w:tcPr>
            <w:tcW w:w="1361" w:type="dxa"/>
          </w:tcPr>
          <w:p w14:paraId="1B1AC2E1" w14:textId="3AF85F6E" w:rsidR="007A3757" w:rsidRPr="00934136" w:rsidRDefault="007A3757" w:rsidP="007A3757">
            <w:pPr>
              <w:pStyle w:val="TableTextRight"/>
            </w:pPr>
            <w:r w:rsidRPr="00847B87">
              <w:t>$0</w:t>
            </w:r>
          </w:p>
        </w:tc>
      </w:tr>
      <w:tr w:rsidR="007A3757" w:rsidRPr="00934136" w14:paraId="05936F5B" w14:textId="77777777" w:rsidTr="00934136">
        <w:trPr>
          <w:trHeight w:val="60"/>
        </w:trPr>
        <w:tc>
          <w:tcPr>
            <w:tcW w:w="2269" w:type="dxa"/>
          </w:tcPr>
          <w:p w14:paraId="286BE57F" w14:textId="5A5AD05E" w:rsidR="007A3757" w:rsidRPr="00934136" w:rsidRDefault="007A3757" w:rsidP="007A3757">
            <w:pPr>
              <w:pStyle w:val="TableText"/>
            </w:pPr>
            <w:r w:rsidRPr="00847B87">
              <w:t>Strata Community Association (Vic)</w:t>
            </w:r>
          </w:p>
        </w:tc>
        <w:tc>
          <w:tcPr>
            <w:tcW w:w="4082" w:type="dxa"/>
          </w:tcPr>
          <w:p w14:paraId="4E4FFD19" w14:textId="24F3294D" w:rsidR="007A3757" w:rsidRPr="002D477F" w:rsidRDefault="007A3757" w:rsidP="007A3757">
            <w:pPr>
              <w:pStyle w:val="TableText"/>
            </w:pPr>
            <w:r w:rsidRPr="002D477F">
              <w:t>Building strata sector resources</w:t>
            </w:r>
          </w:p>
        </w:tc>
        <w:tc>
          <w:tcPr>
            <w:tcW w:w="1360" w:type="dxa"/>
          </w:tcPr>
          <w:p w14:paraId="6DAD7841" w14:textId="2F5D7715" w:rsidR="007A3757" w:rsidRPr="00934136" w:rsidRDefault="007A3757" w:rsidP="007A3757">
            <w:pPr>
              <w:pStyle w:val="TableTextRight"/>
            </w:pPr>
            <w:r w:rsidRPr="00847B87">
              <w:t>$69,600</w:t>
            </w:r>
          </w:p>
        </w:tc>
        <w:tc>
          <w:tcPr>
            <w:tcW w:w="1361" w:type="dxa"/>
          </w:tcPr>
          <w:p w14:paraId="32EB3D17" w14:textId="48F1EBAE" w:rsidR="007A3757" w:rsidRPr="00934136" w:rsidRDefault="007A3757" w:rsidP="007A3757">
            <w:pPr>
              <w:pStyle w:val="TableTextRight"/>
            </w:pPr>
            <w:r w:rsidRPr="00847B87">
              <w:t>$29,600</w:t>
            </w:r>
          </w:p>
        </w:tc>
      </w:tr>
      <w:tr w:rsidR="007A3757" w:rsidRPr="00934136" w14:paraId="1BC3C998" w14:textId="77777777" w:rsidTr="00934136">
        <w:trPr>
          <w:trHeight w:val="60"/>
        </w:trPr>
        <w:tc>
          <w:tcPr>
            <w:tcW w:w="2269" w:type="dxa"/>
          </w:tcPr>
          <w:p w14:paraId="04239AED" w14:textId="768C0C7A" w:rsidR="007A3757" w:rsidRPr="00934136" w:rsidRDefault="007A3757" w:rsidP="007A3757">
            <w:pPr>
              <w:pStyle w:val="TableText"/>
            </w:pPr>
            <w:r w:rsidRPr="00847B87">
              <w:t>Tenants Victoria</w:t>
            </w:r>
          </w:p>
        </w:tc>
        <w:tc>
          <w:tcPr>
            <w:tcW w:w="4082" w:type="dxa"/>
          </w:tcPr>
          <w:p w14:paraId="64FB37A8" w14:textId="03CF1F29" w:rsidR="007A3757" w:rsidRPr="002D477F" w:rsidRDefault="007A3757" w:rsidP="007A3757">
            <w:pPr>
              <w:pStyle w:val="TableText"/>
            </w:pPr>
            <w:r w:rsidRPr="002D477F">
              <w:t>Renters Digital Front Door</w:t>
            </w:r>
          </w:p>
        </w:tc>
        <w:tc>
          <w:tcPr>
            <w:tcW w:w="1360" w:type="dxa"/>
          </w:tcPr>
          <w:p w14:paraId="149325C4" w14:textId="43AE7265" w:rsidR="007A3757" w:rsidRPr="00934136" w:rsidRDefault="007A3757" w:rsidP="007A3757">
            <w:pPr>
              <w:pStyle w:val="TableTextRight"/>
            </w:pPr>
            <w:r w:rsidRPr="00847B87">
              <w:t>$447,487</w:t>
            </w:r>
          </w:p>
        </w:tc>
        <w:tc>
          <w:tcPr>
            <w:tcW w:w="1361" w:type="dxa"/>
          </w:tcPr>
          <w:p w14:paraId="6C1C7BBC" w14:textId="15909B34" w:rsidR="007A3757" w:rsidRPr="00934136" w:rsidRDefault="007A3757" w:rsidP="007A3757">
            <w:pPr>
              <w:pStyle w:val="TableTextRight"/>
            </w:pPr>
            <w:r w:rsidRPr="00847B87">
              <w:t>$178,994</w:t>
            </w:r>
          </w:p>
        </w:tc>
      </w:tr>
      <w:tr w:rsidR="007A3757" w:rsidRPr="00934136" w14:paraId="0067B3DF" w14:textId="77777777" w:rsidTr="00934136">
        <w:trPr>
          <w:trHeight w:val="60"/>
        </w:trPr>
        <w:tc>
          <w:tcPr>
            <w:tcW w:w="2269" w:type="dxa"/>
          </w:tcPr>
          <w:p w14:paraId="41198E15" w14:textId="562D334C" w:rsidR="007A3757" w:rsidRPr="00934136" w:rsidRDefault="007A3757" w:rsidP="007A3757">
            <w:pPr>
              <w:pStyle w:val="TableText"/>
            </w:pPr>
            <w:r w:rsidRPr="00847B87">
              <w:t>Common Equity Housing</w:t>
            </w:r>
          </w:p>
        </w:tc>
        <w:tc>
          <w:tcPr>
            <w:tcW w:w="4082" w:type="dxa"/>
          </w:tcPr>
          <w:p w14:paraId="0F3FD474" w14:textId="77777777" w:rsidR="002D477F" w:rsidRPr="002D477F" w:rsidRDefault="007A3757" w:rsidP="007A3757">
            <w:pPr>
              <w:pStyle w:val="TableText"/>
            </w:pPr>
            <w:r w:rsidRPr="002D477F">
              <w:t>Social housing development</w:t>
            </w:r>
          </w:p>
          <w:p w14:paraId="0C6C8882" w14:textId="2CFA0934" w:rsidR="007A3757" w:rsidRPr="002D477F" w:rsidRDefault="007A3757" w:rsidP="007A3757">
            <w:pPr>
              <w:pStyle w:val="TableText"/>
            </w:pPr>
            <w:r w:rsidRPr="002D477F">
              <w:t>6–8 Wilson Avenue, Brunswick</w:t>
            </w:r>
          </w:p>
        </w:tc>
        <w:tc>
          <w:tcPr>
            <w:tcW w:w="1360" w:type="dxa"/>
          </w:tcPr>
          <w:p w14:paraId="3ABDA4A4" w14:textId="6AB11C18" w:rsidR="007A3757" w:rsidRPr="00934136" w:rsidRDefault="007A3757" w:rsidP="007A3757">
            <w:pPr>
              <w:pStyle w:val="TableTextRight"/>
            </w:pPr>
            <w:r w:rsidRPr="00847B87">
              <w:t>$4,292,573</w:t>
            </w:r>
          </w:p>
        </w:tc>
        <w:tc>
          <w:tcPr>
            <w:tcW w:w="1361" w:type="dxa"/>
          </w:tcPr>
          <w:p w14:paraId="1861F103" w14:textId="4DE4CD0C" w:rsidR="007A3757" w:rsidRPr="00934136" w:rsidRDefault="007A3757" w:rsidP="007A3757">
            <w:pPr>
              <w:pStyle w:val="TableTextRight"/>
            </w:pPr>
            <w:r w:rsidRPr="00847B87">
              <w:t>$1,237,786</w:t>
            </w:r>
          </w:p>
        </w:tc>
      </w:tr>
      <w:tr w:rsidR="007A3757" w:rsidRPr="00934136" w14:paraId="193224E1" w14:textId="77777777" w:rsidTr="00934136">
        <w:trPr>
          <w:trHeight w:val="60"/>
        </w:trPr>
        <w:tc>
          <w:tcPr>
            <w:tcW w:w="2269" w:type="dxa"/>
          </w:tcPr>
          <w:p w14:paraId="256C12D5" w14:textId="02838813" w:rsidR="007A3757" w:rsidRPr="00934136" w:rsidRDefault="007A3757" w:rsidP="007A3757">
            <w:pPr>
              <w:pStyle w:val="TableText"/>
            </w:pPr>
            <w:r w:rsidRPr="00847B87">
              <w:t>Community Housing (Vic)</w:t>
            </w:r>
            <w:r w:rsidR="00FE12BA">
              <w:t> </w:t>
            </w:r>
            <w:r w:rsidRPr="00847B87">
              <w:t>Ltd</w:t>
            </w:r>
          </w:p>
        </w:tc>
        <w:tc>
          <w:tcPr>
            <w:tcW w:w="4082" w:type="dxa"/>
          </w:tcPr>
          <w:p w14:paraId="517EEAAB" w14:textId="77777777" w:rsidR="002D477F" w:rsidRPr="002D477F" w:rsidRDefault="007A3757" w:rsidP="007A3757">
            <w:pPr>
              <w:pStyle w:val="TableText"/>
            </w:pPr>
            <w:r w:rsidRPr="002D477F">
              <w:t>Social housing development</w:t>
            </w:r>
          </w:p>
          <w:p w14:paraId="3E1B3E49" w14:textId="31F9A6C0" w:rsidR="007A3757" w:rsidRPr="002D477F" w:rsidRDefault="007A3757" w:rsidP="007A3757">
            <w:pPr>
              <w:pStyle w:val="TableText"/>
            </w:pPr>
            <w:r w:rsidRPr="002D477F">
              <w:t>23 Cilento Crescent, Lynbrook</w:t>
            </w:r>
          </w:p>
        </w:tc>
        <w:tc>
          <w:tcPr>
            <w:tcW w:w="1360" w:type="dxa"/>
          </w:tcPr>
          <w:p w14:paraId="363154A1" w14:textId="4EC8A786" w:rsidR="007A3757" w:rsidRPr="00934136" w:rsidRDefault="007A3757" w:rsidP="007A3757">
            <w:pPr>
              <w:pStyle w:val="TableTextRight"/>
            </w:pPr>
            <w:r w:rsidRPr="00847B87">
              <w:t>$2,800,000</w:t>
            </w:r>
          </w:p>
        </w:tc>
        <w:tc>
          <w:tcPr>
            <w:tcW w:w="1361" w:type="dxa"/>
          </w:tcPr>
          <w:p w14:paraId="1D8883B9" w14:textId="74EA6AD3" w:rsidR="007A3757" w:rsidRPr="00934136" w:rsidRDefault="007A3757" w:rsidP="007A3757">
            <w:pPr>
              <w:pStyle w:val="TableTextRight"/>
            </w:pPr>
            <w:r w:rsidRPr="00847B87">
              <w:t>$0</w:t>
            </w:r>
          </w:p>
        </w:tc>
      </w:tr>
      <w:tr w:rsidR="007A3757" w:rsidRPr="00934136" w14:paraId="2445A992" w14:textId="77777777" w:rsidTr="00934136">
        <w:trPr>
          <w:trHeight w:val="60"/>
        </w:trPr>
        <w:tc>
          <w:tcPr>
            <w:tcW w:w="2269" w:type="dxa"/>
          </w:tcPr>
          <w:p w14:paraId="33BD88F5" w14:textId="4B1FFFF2" w:rsidR="007A3757" w:rsidRPr="00934136" w:rsidRDefault="007A3757" w:rsidP="007A3757">
            <w:pPr>
              <w:pStyle w:val="TableText"/>
            </w:pPr>
            <w:r w:rsidRPr="00847B87">
              <w:t>Community Housing (Vic)</w:t>
            </w:r>
            <w:r w:rsidR="00FE12BA">
              <w:t> </w:t>
            </w:r>
            <w:r w:rsidRPr="00847B87">
              <w:t>Ltd</w:t>
            </w:r>
          </w:p>
        </w:tc>
        <w:tc>
          <w:tcPr>
            <w:tcW w:w="4082" w:type="dxa"/>
          </w:tcPr>
          <w:p w14:paraId="7E1A9FA3" w14:textId="77777777" w:rsidR="002D477F" w:rsidRPr="002D477F" w:rsidRDefault="007A3757" w:rsidP="007A3757">
            <w:pPr>
              <w:pStyle w:val="TableText"/>
            </w:pPr>
            <w:r w:rsidRPr="002D477F">
              <w:t>Social housing development</w:t>
            </w:r>
          </w:p>
          <w:p w14:paraId="093BE1D8" w14:textId="71D471B2" w:rsidR="007A3757" w:rsidRPr="002D477F" w:rsidRDefault="007A3757" w:rsidP="007A3757">
            <w:pPr>
              <w:pStyle w:val="TableText"/>
            </w:pPr>
            <w:r w:rsidRPr="002D477F">
              <w:t>64–68 Anderson Street, Lilydale</w:t>
            </w:r>
          </w:p>
        </w:tc>
        <w:tc>
          <w:tcPr>
            <w:tcW w:w="1360" w:type="dxa"/>
          </w:tcPr>
          <w:p w14:paraId="5953CFD8" w14:textId="0DDEF6D7" w:rsidR="007A3757" w:rsidRPr="00934136" w:rsidRDefault="007A3757" w:rsidP="007A3757">
            <w:pPr>
              <w:pStyle w:val="TableTextRight"/>
            </w:pPr>
            <w:r w:rsidRPr="00847B87">
              <w:t>$2,967,102</w:t>
            </w:r>
          </w:p>
        </w:tc>
        <w:tc>
          <w:tcPr>
            <w:tcW w:w="1361" w:type="dxa"/>
          </w:tcPr>
          <w:p w14:paraId="7F596A08" w14:textId="3DB04BAE" w:rsidR="007A3757" w:rsidRPr="00934136" w:rsidRDefault="007A3757" w:rsidP="007A3757">
            <w:pPr>
              <w:pStyle w:val="TableTextRight"/>
            </w:pPr>
            <w:r w:rsidRPr="00847B87">
              <w:t>$100,000</w:t>
            </w:r>
          </w:p>
        </w:tc>
      </w:tr>
      <w:tr w:rsidR="007A3757" w:rsidRPr="00934136" w14:paraId="5109C7B4" w14:textId="77777777" w:rsidTr="00934136">
        <w:trPr>
          <w:trHeight w:val="60"/>
        </w:trPr>
        <w:tc>
          <w:tcPr>
            <w:tcW w:w="2269" w:type="dxa"/>
          </w:tcPr>
          <w:p w14:paraId="1F8718D6" w14:textId="4A6FE8CD" w:rsidR="007A3757" w:rsidRPr="00934136" w:rsidRDefault="007A3757" w:rsidP="007A3757">
            <w:pPr>
              <w:pStyle w:val="TableText"/>
            </w:pPr>
            <w:r w:rsidRPr="00847B87">
              <w:t>Heritage Victoria</w:t>
            </w:r>
          </w:p>
        </w:tc>
        <w:tc>
          <w:tcPr>
            <w:tcW w:w="4082" w:type="dxa"/>
          </w:tcPr>
          <w:p w14:paraId="1CD09892" w14:textId="1992E2AD" w:rsidR="007A3757" w:rsidRPr="002D477F" w:rsidRDefault="007A3757" w:rsidP="007A3757">
            <w:pPr>
              <w:pStyle w:val="TableText"/>
            </w:pPr>
            <w:r w:rsidRPr="002D477F">
              <w:t>Boost to Living Heritage Grants Program</w:t>
            </w:r>
          </w:p>
        </w:tc>
        <w:tc>
          <w:tcPr>
            <w:tcW w:w="1360" w:type="dxa"/>
          </w:tcPr>
          <w:p w14:paraId="0979CFD1" w14:textId="5A814C1F" w:rsidR="007A3757" w:rsidRPr="00934136" w:rsidRDefault="007A3757" w:rsidP="007A3757">
            <w:pPr>
              <w:pStyle w:val="TableTextRight"/>
            </w:pPr>
            <w:r w:rsidRPr="00847B87">
              <w:t>$1,500,000</w:t>
            </w:r>
          </w:p>
        </w:tc>
        <w:tc>
          <w:tcPr>
            <w:tcW w:w="1361" w:type="dxa"/>
          </w:tcPr>
          <w:p w14:paraId="21262FF0" w14:textId="2D521B7A" w:rsidR="007A3757" w:rsidRPr="00934136" w:rsidRDefault="007A3757" w:rsidP="007A3757">
            <w:pPr>
              <w:pStyle w:val="TableTextRight"/>
            </w:pPr>
            <w:r w:rsidRPr="00847B87">
              <w:t>$0</w:t>
            </w:r>
          </w:p>
        </w:tc>
      </w:tr>
      <w:tr w:rsidR="007A3757" w:rsidRPr="00934136" w14:paraId="7202D2BD" w14:textId="77777777" w:rsidTr="00934136">
        <w:trPr>
          <w:trHeight w:val="60"/>
        </w:trPr>
        <w:tc>
          <w:tcPr>
            <w:tcW w:w="2269" w:type="dxa"/>
          </w:tcPr>
          <w:p w14:paraId="7F3F2319" w14:textId="6B1417BD" w:rsidR="007A3757" w:rsidRPr="00934136" w:rsidRDefault="007A3757" w:rsidP="007A3757">
            <w:pPr>
              <w:pStyle w:val="TableText"/>
            </w:pPr>
            <w:r w:rsidRPr="00847B87">
              <w:t>Dispute Settlement Centre Victoria</w:t>
            </w:r>
          </w:p>
        </w:tc>
        <w:tc>
          <w:tcPr>
            <w:tcW w:w="4082" w:type="dxa"/>
          </w:tcPr>
          <w:p w14:paraId="343266B3" w14:textId="2AA819D9" w:rsidR="007A3757" w:rsidRPr="002D477F" w:rsidRDefault="007A3757" w:rsidP="007A3757">
            <w:pPr>
              <w:pStyle w:val="TableText"/>
            </w:pPr>
            <w:r w:rsidRPr="002D477F">
              <w:t>Residential Tenancies – Alternative Dispute Resolution Program</w:t>
            </w:r>
          </w:p>
        </w:tc>
        <w:tc>
          <w:tcPr>
            <w:tcW w:w="1360" w:type="dxa"/>
          </w:tcPr>
          <w:p w14:paraId="0C9ABB2B" w14:textId="710FD851" w:rsidR="007A3757" w:rsidRPr="00934136" w:rsidRDefault="007A3757" w:rsidP="007A3757">
            <w:pPr>
              <w:pStyle w:val="TableTextRight"/>
            </w:pPr>
            <w:r w:rsidRPr="00847B87">
              <w:t>$3,053,300</w:t>
            </w:r>
          </w:p>
        </w:tc>
        <w:tc>
          <w:tcPr>
            <w:tcW w:w="1361" w:type="dxa"/>
          </w:tcPr>
          <w:p w14:paraId="270B27CE" w14:textId="4B536469" w:rsidR="007A3757" w:rsidRPr="00934136" w:rsidRDefault="007A3757" w:rsidP="007A3757">
            <w:pPr>
              <w:pStyle w:val="TableTextRight"/>
            </w:pPr>
            <w:r w:rsidRPr="00847B87">
              <w:t>$1,141,900</w:t>
            </w:r>
          </w:p>
        </w:tc>
      </w:tr>
      <w:tr w:rsidR="007A3757" w:rsidRPr="00934136" w14:paraId="39D12133" w14:textId="77777777" w:rsidTr="00934136">
        <w:trPr>
          <w:trHeight w:val="60"/>
        </w:trPr>
        <w:tc>
          <w:tcPr>
            <w:tcW w:w="2269" w:type="dxa"/>
          </w:tcPr>
          <w:p w14:paraId="715B92BF" w14:textId="4F11E7EF" w:rsidR="007A3757" w:rsidRPr="00934136" w:rsidRDefault="007A3757" w:rsidP="007A3757">
            <w:pPr>
              <w:pStyle w:val="TableText"/>
            </w:pPr>
            <w:r w:rsidRPr="00847B87">
              <w:t>Australian Livestock and</w:t>
            </w:r>
            <w:r w:rsidR="00AB40B8">
              <w:t> </w:t>
            </w:r>
            <w:r w:rsidRPr="00847B87">
              <w:t>Property Agents Association</w:t>
            </w:r>
          </w:p>
        </w:tc>
        <w:tc>
          <w:tcPr>
            <w:tcW w:w="4082" w:type="dxa"/>
          </w:tcPr>
          <w:p w14:paraId="61198D6A" w14:textId="3E4005DF" w:rsidR="007A3757" w:rsidRPr="002D477F" w:rsidRDefault="007A3757" w:rsidP="007A3757">
            <w:pPr>
              <w:pStyle w:val="TableText"/>
            </w:pPr>
            <w:r w:rsidRPr="002D477F">
              <w:t>Estate Agent Professional Development Program 2017–20</w:t>
            </w:r>
          </w:p>
        </w:tc>
        <w:tc>
          <w:tcPr>
            <w:tcW w:w="1360" w:type="dxa"/>
          </w:tcPr>
          <w:p w14:paraId="2C53083B" w14:textId="3A22A5AF" w:rsidR="007A3757" w:rsidRPr="00934136" w:rsidRDefault="007A3757" w:rsidP="007A3757">
            <w:pPr>
              <w:pStyle w:val="TableTextRight"/>
            </w:pPr>
            <w:r w:rsidRPr="00847B87">
              <w:t>$174,340</w:t>
            </w:r>
          </w:p>
        </w:tc>
        <w:tc>
          <w:tcPr>
            <w:tcW w:w="1361" w:type="dxa"/>
          </w:tcPr>
          <w:p w14:paraId="086F886B" w14:textId="18928EC7" w:rsidR="007A3757" w:rsidRPr="00934136" w:rsidRDefault="007A3757" w:rsidP="007A3757">
            <w:pPr>
              <w:pStyle w:val="TableTextRight"/>
            </w:pPr>
            <w:r w:rsidRPr="00847B87">
              <w:t>$28,913</w:t>
            </w:r>
          </w:p>
        </w:tc>
      </w:tr>
      <w:tr w:rsidR="007A3757" w:rsidRPr="00934136" w14:paraId="6762FD67" w14:textId="77777777" w:rsidTr="00934136">
        <w:trPr>
          <w:trHeight w:val="60"/>
        </w:trPr>
        <w:tc>
          <w:tcPr>
            <w:tcW w:w="2269" w:type="dxa"/>
          </w:tcPr>
          <w:p w14:paraId="26F38170" w14:textId="3BF12754" w:rsidR="007A3757" w:rsidRPr="00934136" w:rsidRDefault="007A3757" w:rsidP="007A3757">
            <w:pPr>
              <w:pStyle w:val="TableText"/>
            </w:pPr>
            <w:r w:rsidRPr="00847B87">
              <w:t>Mallee Accommodation and Support Program</w:t>
            </w:r>
          </w:p>
        </w:tc>
        <w:tc>
          <w:tcPr>
            <w:tcW w:w="4082" w:type="dxa"/>
          </w:tcPr>
          <w:p w14:paraId="33D5EFBB" w14:textId="77777777" w:rsidR="002D477F" w:rsidRPr="002D477F" w:rsidRDefault="007A3757" w:rsidP="007A3757">
            <w:pPr>
              <w:pStyle w:val="TableText"/>
            </w:pPr>
            <w:r w:rsidRPr="002D477F">
              <w:t>Social housing development</w:t>
            </w:r>
          </w:p>
          <w:p w14:paraId="66B96C58" w14:textId="52697C64" w:rsidR="007A3757" w:rsidRPr="002D477F" w:rsidRDefault="007A3757" w:rsidP="007A3757">
            <w:pPr>
              <w:pStyle w:val="TableText"/>
            </w:pPr>
            <w:r w:rsidRPr="002D477F">
              <w:t>52–54 Thirteenth Street, Mildura</w:t>
            </w:r>
          </w:p>
        </w:tc>
        <w:tc>
          <w:tcPr>
            <w:tcW w:w="1360" w:type="dxa"/>
          </w:tcPr>
          <w:p w14:paraId="727E50D2" w14:textId="0604CD2D" w:rsidR="007A3757" w:rsidRPr="00934136" w:rsidRDefault="007A3757" w:rsidP="007A3757">
            <w:pPr>
              <w:pStyle w:val="TableTextRight"/>
            </w:pPr>
            <w:r w:rsidRPr="00847B87">
              <w:t>$2,025,000</w:t>
            </w:r>
          </w:p>
        </w:tc>
        <w:tc>
          <w:tcPr>
            <w:tcW w:w="1361" w:type="dxa"/>
          </w:tcPr>
          <w:p w14:paraId="72EF74DB" w14:textId="0D5F83F9" w:rsidR="007A3757" w:rsidRPr="00934136" w:rsidRDefault="007A3757" w:rsidP="007A3757">
            <w:pPr>
              <w:pStyle w:val="TableTextRight"/>
            </w:pPr>
            <w:r w:rsidRPr="00847B87">
              <w:t>$100,000</w:t>
            </w:r>
          </w:p>
        </w:tc>
      </w:tr>
      <w:tr w:rsidR="007A3757" w:rsidRPr="00934136" w14:paraId="7AC7F5FF" w14:textId="77777777" w:rsidTr="007A3757">
        <w:trPr>
          <w:trHeight w:val="60"/>
        </w:trPr>
        <w:tc>
          <w:tcPr>
            <w:tcW w:w="9072" w:type="dxa"/>
            <w:gridSpan w:val="4"/>
            <w:shd w:val="clear" w:color="auto" w:fill="BCCAE5"/>
          </w:tcPr>
          <w:p w14:paraId="19E82B0B" w14:textId="06CF74A4" w:rsidR="007A3757" w:rsidRPr="007A3757" w:rsidRDefault="007A3757" w:rsidP="007A3757">
            <w:pPr>
              <w:pStyle w:val="TableTextBold"/>
              <w:rPr>
                <w:bCs/>
              </w:rPr>
            </w:pPr>
            <w:r w:rsidRPr="00934136">
              <w:t>Rental Stress Support Package</w:t>
            </w:r>
          </w:p>
        </w:tc>
      </w:tr>
      <w:tr w:rsidR="007A3757" w:rsidRPr="00934136" w14:paraId="3C38782F" w14:textId="77777777" w:rsidTr="00934136">
        <w:trPr>
          <w:trHeight w:val="60"/>
        </w:trPr>
        <w:tc>
          <w:tcPr>
            <w:tcW w:w="2269" w:type="dxa"/>
          </w:tcPr>
          <w:p w14:paraId="2C518951" w14:textId="54E16EA7" w:rsidR="007A3757" w:rsidRPr="00847B87" w:rsidRDefault="007A3757" w:rsidP="007A3757">
            <w:pPr>
              <w:pStyle w:val="TableText"/>
            </w:pPr>
            <w:r w:rsidRPr="00971344">
              <w:t>Anglicare Victoria</w:t>
            </w:r>
          </w:p>
        </w:tc>
        <w:tc>
          <w:tcPr>
            <w:tcW w:w="4082" w:type="dxa"/>
          </w:tcPr>
          <w:p w14:paraId="4F0DB9D6" w14:textId="40461DA2" w:rsidR="007A3757" w:rsidRPr="007A3757" w:rsidRDefault="007A3757" w:rsidP="007A3757">
            <w:pPr>
              <w:pStyle w:val="TableText"/>
              <w:rPr>
                <w:highlight w:val="yellow"/>
              </w:rPr>
            </w:pPr>
            <w:r w:rsidRPr="00971344">
              <w:t>AV Rental Stress Hub</w:t>
            </w:r>
          </w:p>
        </w:tc>
        <w:tc>
          <w:tcPr>
            <w:tcW w:w="1360" w:type="dxa"/>
          </w:tcPr>
          <w:p w14:paraId="5C9F1AEC" w14:textId="5A18A31B" w:rsidR="007A3757" w:rsidRPr="00847B87" w:rsidRDefault="007A3757" w:rsidP="007A3757">
            <w:pPr>
              <w:pStyle w:val="TableTextRight"/>
            </w:pPr>
            <w:r w:rsidRPr="00971344">
              <w:t>$2,000,000</w:t>
            </w:r>
          </w:p>
        </w:tc>
        <w:tc>
          <w:tcPr>
            <w:tcW w:w="1361" w:type="dxa"/>
          </w:tcPr>
          <w:p w14:paraId="5ED8BF87" w14:textId="7FDB7C9B" w:rsidR="007A3757" w:rsidRPr="00847B87" w:rsidRDefault="007A3757" w:rsidP="007A3757">
            <w:pPr>
              <w:pStyle w:val="TableTextRight"/>
            </w:pPr>
            <w:r w:rsidRPr="00971344">
              <w:t>$180,734</w:t>
            </w:r>
          </w:p>
        </w:tc>
      </w:tr>
      <w:tr w:rsidR="007A3757" w:rsidRPr="00934136" w14:paraId="5D4AE3E3" w14:textId="77777777" w:rsidTr="00934136">
        <w:trPr>
          <w:trHeight w:val="60"/>
        </w:trPr>
        <w:tc>
          <w:tcPr>
            <w:tcW w:w="2269" w:type="dxa"/>
          </w:tcPr>
          <w:p w14:paraId="39EDC3F4" w14:textId="4B584F3B" w:rsidR="007A3757" w:rsidRPr="00847B87" w:rsidRDefault="007A3757" w:rsidP="007A3757">
            <w:pPr>
              <w:pStyle w:val="TableText"/>
            </w:pPr>
            <w:r w:rsidRPr="00971344">
              <w:t>Child and Family Services Ballarat</w:t>
            </w:r>
          </w:p>
        </w:tc>
        <w:tc>
          <w:tcPr>
            <w:tcW w:w="4082" w:type="dxa"/>
          </w:tcPr>
          <w:p w14:paraId="718338EF" w14:textId="76A83A6F" w:rsidR="007A3757" w:rsidRPr="007A3757" w:rsidRDefault="007A3757" w:rsidP="007A3757">
            <w:pPr>
              <w:pStyle w:val="TableText"/>
              <w:rPr>
                <w:highlight w:val="yellow"/>
              </w:rPr>
            </w:pPr>
            <w:r w:rsidRPr="00971344">
              <w:t>Housing Community Connector Program</w:t>
            </w:r>
          </w:p>
        </w:tc>
        <w:tc>
          <w:tcPr>
            <w:tcW w:w="1360" w:type="dxa"/>
          </w:tcPr>
          <w:p w14:paraId="522C2C19" w14:textId="7CA4DE8D" w:rsidR="007A3757" w:rsidRPr="00847B87" w:rsidRDefault="007A3757" w:rsidP="007A3757">
            <w:pPr>
              <w:pStyle w:val="TableTextRight"/>
            </w:pPr>
            <w:r w:rsidRPr="00971344">
              <w:t>$372,982</w:t>
            </w:r>
          </w:p>
        </w:tc>
        <w:tc>
          <w:tcPr>
            <w:tcW w:w="1361" w:type="dxa"/>
          </w:tcPr>
          <w:p w14:paraId="03A49DEB" w14:textId="3BC7B4B1" w:rsidR="007A3757" w:rsidRPr="00847B87" w:rsidRDefault="007A3757" w:rsidP="007A3757">
            <w:pPr>
              <w:pStyle w:val="TableTextRight"/>
            </w:pPr>
            <w:r w:rsidRPr="00971344">
              <w:t>$39,833</w:t>
            </w:r>
          </w:p>
        </w:tc>
      </w:tr>
      <w:tr w:rsidR="007A3757" w:rsidRPr="00934136" w14:paraId="14B21C60" w14:textId="77777777" w:rsidTr="00934136">
        <w:trPr>
          <w:trHeight w:val="60"/>
        </w:trPr>
        <w:tc>
          <w:tcPr>
            <w:tcW w:w="2269" w:type="dxa"/>
          </w:tcPr>
          <w:p w14:paraId="603B65D3" w14:textId="7B4516C6" w:rsidR="007A3757" w:rsidRPr="00847B87" w:rsidRDefault="007A3757" w:rsidP="007A3757">
            <w:pPr>
              <w:pStyle w:val="TableText"/>
            </w:pPr>
            <w:r w:rsidRPr="00971344">
              <w:t>Housing for the Aged Action Group</w:t>
            </w:r>
          </w:p>
        </w:tc>
        <w:tc>
          <w:tcPr>
            <w:tcW w:w="4082" w:type="dxa"/>
          </w:tcPr>
          <w:p w14:paraId="61BE4789" w14:textId="0379ED65" w:rsidR="007A3757" w:rsidRPr="007A3757" w:rsidRDefault="007A3757" w:rsidP="007A3757">
            <w:pPr>
              <w:pStyle w:val="TableText"/>
              <w:rPr>
                <w:highlight w:val="yellow"/>
              </w:rPr>
            </w:pPr>
            <w:r w:rsidRPr="00971344">
              <w:t>RSSP</w:t>
            </w:r>
          </w:p>
        </w:tc>
        <w:tc>
          <w:tcPr>
            <w:tcW w:w="1360" w:type="dxa"/>
          </w:tcPr>
          <w:p w14:paraId="5BCB4496" w14:textId="290F6621" w:rsidR="007A3757" w:rsidRPr="00847B87" w:rsidRDefault="007A3757" w:rsidP="007A3757">
            <w:pPr>
              <w:pStyle w:val="TableTextRight"/>
            </w:pPr>
            <w:r w:rsidRPr="00971344">
              <w:t>$667,505</w:t>
            </w:r>
          </w:p>
        </w:tc>
        <w:tc>
          <w:tcPr>
            <w:tcW w:w="1361" w:type="dxa"/>
          </w:tcPr>
          <w:p w14:paraId="201304F6" w14:textId="47A688A8" w:rsidR="007A3757" w:rsidRPr="00847B87" w:rsidRDefault="007A3757" w:rsidP="007A3757">
            <w:pPr>
              <w:pStyle w:val="TableTextRight"/>
            </w:pPr>
            <w:r w:rsidRPr="00971344">
              <w:t>$73,711</w:t>
            </w:r>
          </w:p>
        </w:tc>
      </w:tr>
      <w:tr w:rsidR="007A3757" w:rsidRPr="00934136" w14:paraId="6D6F76BC" w14:textId="77777777" w:rsidTr="00934136">
        <w:trPr>
          <w:trHeight w:val="60"/>
        </w:trPr>
        <w:tc>
          <w:tcPr>
            <w:tcW w:w="2269" w:type="dxa"/>
          </w:tcPr>
          <w:p w14:paraId="31F721AC" w14:textId="4955EF52" w:rsidR="007A3757" w:rsidRPr="00847B87" w:rsidRDefault="007A3757" w:rsidP="007A3757">
            <w:pPr>
              <w:pStyle w:val="TableText"/>
            </w:pPr>
            <w:r w:rsidRPr="00971344">
              <w:t>Justice Connect</w:t>
            </w:r>
          </w:p>
        </w:tc>
        <w:tc>
          <w:tcPr>
            <w:tcW w:w="4082" w:type="dxa"/>
          </w:tcPr>
          <w:p w14:paraId="70D391B5" w14:textId="0683C33B" w:rsidR="007A3757" w:rsidRPr="007A3757" w:rsidRDefault="007A3757" w:rsidP="007A3757">
            <w:pPr>
              <w:pStyle w:val="TableText"/>
              <w:rPr>
                <w:highlight w:val="yellow"/>
              </w:rPr>
            </w:pPr>
            <w:r w:rsidRPr="00971344">
              <w:t>Homeless Law</w:t>
            </w:r>
          </w:p>
        </w:tc>
        <w:tc>
          <w:tcPr>
            <w:tcW w:w="1360" w:type="dxa"/>
          </w:tcPr>
          <w:p w14:paraId="7F89BEDE" w14:textId="07543486" w:rsidR="007A3757" w:rsidRPr="00847B87" w:rsidRDefault="007A3757" w:rsidP="007A3757">
            <w:pPr>
              <w:pStyle w:val="TableTextRight"/>
            </w:pPr>
            <w:r w:rsidRPr="00971344">
              <w:t>$750,000</w:t>
            </w:r>
          </w:p>
        </w:tc>
        <w:tc>
          <w:tcPr>
            <w:tcW w:w="1361" w:type="dxa"/>
          </w:tcPr>
          <w:p w14:paraId="626C3D10" w14:textId="0914EC4B" w:rsidR="007A3757" w:rsidRPr="00847B87" w:rsidRDefault="007A3757" w:rsidP="007A3757">
            <w:pPr>
              <w:pStyle w:val="TableTextRight"/>
            </w:pPr>
            <w:r w:rsidRPr="00971344">
              <w:t>$238,182</w:t>
            </w:r>
          </w:p>
        </w:tc>
      </w:tr>
      <w:tr w:rsidR="007A3757" w:rsidRPr="00934136" w14:paraId="5A9E1984" w14:textId="77777777" w:rsidTr="00934136">
        <w:trPr>
          <w:trHeight w:val="60"/>
        </w:trPr>
        <w:tc>
          <w:tcPr>
            <w:tcW w:w="2269" w:type="dxa"/>
          </w:tcPr>
          <w:p w14:paraId="388E3E6D" w14:textId="298E3696" w:rsidR="007A3757" w:rsidRPr="00847B87" w:rsidRDefault="007A3757" w:rsidP="007A3757">
            <w:pPr>
              <w:pStyle w:val="TableText"/>
            </w:pPr>
            <w:r w:rsidRPr="00971344">
              <w:t>Launch Housing</w:t>
            </w:r>
          </w:p>
        </w:tc>
        <w:tc>
          <w:tcPr>
            <w:tcW w:w="4082" w:type="dxa"/>
          </w:tcPr>
          <w:p w14:paraId="43FDBC55" w14:textId="1AC8B3C4" w:rsidR="007A3757" w:rsidRPr="007A3757" w:rsidRDefault="007A3757" w:rsidP="007A3757">
            <w:pPr>
              <w:pStyle w:val="TableText"/>
              <w:rPr>
                <w:highlight w:val="yellow"/>
              </w:rPr>
            </w:pPr>
            <w:r w:rsidRPr="00971344">
              <w:t>RSSP</w:t>
            </w:r>
          </w:p>
        </w:tc>
        <w:tc>
          <w:tcPr>
            <w:tcW w:w="1360" w:type="dxa"/>
          </w:tcPr>
          <w:p w14:paraId="782ECF75" w14:textId="7D9CA2EA" w:rsidR="007A3757" w:rsidRPr="00847B87" w:rsidRDefault="007A3757" w:rsidP="007A3757">
            <w:pPr>
              <w:pStyle w:val="TableTextRight"/>
            </w:pPr>
            <w:r w:rsidRPr="00971344">
              <w:t>$1,021,704</w:t>
            </w:r>
          </w:p>
        </w:tc>
        <w:tc>
          <w:tcPr>
            <w:tcW w:w="1361" w:type="dxa"/>
          </w:tcPr>
          <w:p w14:paraId="36D9BFC1" w14:textId="4191D253" w:rsidR="007A3757" w:rsidRPr="00847B87" w:rsidRDefault="007A3757" w:rsidP="007A3757">
            <w:pPr>
              <w:pStyle w:val="TableTextRight"/>
            </w:pPr>
            <w:r w:rsidRPr="00971344">
              <w:t>$111,080</w:t>
            </w:r>
          </w:p>
        </w:tc>
      </w:tr>
      <w:tr w:rsidR="007A3757" w:rsidRPr="00934136" w14:paraId="435B6A09" w14:textId="77777777" w:rsidTr="00934136">
        <w:trPr>
          <w:trHeight w:val="60"/>
        </w:trPr>
        <w:tc>
          <w:tcPr>
            <w:tcW w:w="2269" w:type="dxa"/>
          </w:tcPr>
          <w:p w14:paraId="5DAFA20F" w14:textId="05A949FC" w:rsidR="007A3757" w:rsidRPr="00847B87" w:rsidRDefault="007A3757" w:rsidP="007A3757">
            <w:pPr>
              <w:pStyle w:val="TableText"/>
            </w:pPr>
            <w:r w:rsidRPr="00971344">
              <w:t>Mallee Family Care</w:t>
            </w:r>
          </w:p>
        </w:tc>
        <w:tc>
          <w:tcPr>
            <w:tcW w:w="4082" w:type="dxa"/>
          </w:tcPr>
          <w:p w14:paraId="35E8F876" w14:textId="5CFC0DF0" w:rsidR="007A3757" w:rsidRPr="007A3757" w:rsidRDefault="007A3757" w:rsidP="007A3757">
            <w:pPr>
              <w:pStyle w:val="TableText"/>
              <w:rPr>
                <w:highlight w:val="yellow"/>
              </w:rPr>
            </w:pPr>
            <w:r w:rsidRPr="00971344">
              <w:t>RSSP</w:t>
            </w:r>
          </w:p>
        </w:tc>
        <w:tc>
          <w:tcPr>
            <w:tcW w:w="1360" w:type="dxa"/>
          </w:tcPr>
          <w:p w14:paraId="459086A2" w14:textId="076B67E8" w:rsidR="007A3757" w:rsidRPr="00847B87" w:rsidRDefault="007A3757" w:rsidP="007A3757">
            <w:pPr>
              <w:pStyle w:val="TableTextRight"/>
            </w:pPr>
            <w:r w:rsidRPr="00971344">
              <w:t>$170,027</w:t>
            </w:r>
          </w:p>
        </w:tc>
        <w:tc>
          <w:tcPr>
            <w:tcW w:w="1361" w:type="dxa"/>
          </w:tcPr>
          <w:p w14:paraId="5489BE6E" w14:textId="7D404BDB" w:rsidR="007A3757" w:rsidRPr="00847B87" w:rsidRDefault="007A3757" w:rsidP="007A3757">
            <w:pPr>
              <w:pStyle w:val="TableTextRight"/>
            </w:pPr>
            <w:r w:rsidRPr="00971344">
              <w:t>$24,300</w:t>
            </w:r>
          </w:p>
        </w:tc>
      </w:tr>
      <w:tr w:rsidR="007A3757" w:rsidRPr="00934136" w14:paraId="2D5BBC2A" w14:textId="77777777" w:rsidTr="00934136">
        <w:trPr>
          <w:trHeight w:val="60"/>
        </w:trPr>
        <w:tc>
          <w:tcPr>
            <w:tcW w:w="2269" w:type="dxa"/>
          </w:tcPr>
          <w:p w14:paraId="7E963D03" w14:textId="081703FA" w:rsidR="007A3757" w:rsidRPr="00847B87" w:rsidRDefault="007A3757" w:rsidP="007A3757">
            <w:pPr>
              <w:pStyle w:val="TableText"/>
            </w:pPr>
            <w:r w:rsidRPr="00971344">
              <w:t>Quantum Support Services</w:t>
            </w:r>
          </w:p>
        </w:tc>
        <w:tc>
          <w:tcPr>
            <w:tcW w:w="4082" w:type="dxa"/>
          </w:tcPr>
          <w:p w14:paraId="64AFA4E8" w14:textId="0038106B" w:rsidR="007A3757" w:rsidRPr="007A3757" w:rsidRDefault="007A3757" w:rsidP="007A3757">
            <w:pPr>
              <w:pStyle w:val="TableText"/>
              <w:rPr>
                <w:highlight w:val="yellow"/>
              </w:rPr>
            </w:pPr>
            <w:r w:rsidRPr="00971344">
              <w:t>RSSP</w:t>
            </w:r>
          </w:p>
        </w:tc>
        <w:tc>
          <w:tcPr>
            <w:tcW w:w="1360" w:type="dxa"/>
          </w:tcPr>
          <w:p w14:paraId="41564C32" w14:textId="3863C2B6" w:rsidR="007A3757" w:rsidRPr="00847B87" w:rsidRDefault="007A3757" w:rsidP="007A3757">
            <w:pPr>
              <w:pStyle w:val="TableTextRight"/>
            </w:pPr>
            <w:r w:rsidRPr="00971344">
              <w:t>$343,206</w:t>
            </w:r>
          </w:p>
        </w:tc>
        <w:tc>
          <w:tcPr>
            <w:tcW w:w="1361" w:type="dxa"/>
          </w:tcPr>
          <w:p w14:paraId="26B5F3EE" w14:textId="19951786" w:rsidR="007A3757" w:rsidRPr="00847B87" w:rsidRDefault="007A3757" w:rsidP="007A3757">
            <w:pPr>
              <w:pStyle w:val="TableTextRight"/>
            </w:pPr>
            <w:r w:rsidRPr="00971344">
              <w:t>$42,267</w:t>
            </w:r>
          </w:p>
        </w:tc>
      </w:tr>
      <w:tr w:rsidR="007A3757" w:rsidRPr="00934136" w14:paraId="58CA277D" w14:textId="77777777" w:rsidTr="00934136">
        <w:trPr>
          <w:trHeight w:val="60"/>
        </w:trPr>
        <w:tc>
          <w:tcPr>
            <w:tcW w:w="2269" w:type="dxa"/>
          </w:tcPr>
          <w:p w14:paraId="5F48EC31" w14:textId="2645153B" w:rsidR="007A3757" w:rsidRPr="00847B87" w:rsidRDefault="007A3757" w:rsidP="007A3757">
            <w:pPr>
              <w:pStyle w:val="TableText"/>
            </w:pPr>
            <w:r w:rsidRPr="00971344">
              <w:t>South East Community Links</w:t>
            </w:r>
          </w:p>
        </w:tc>
        <w:tc>
          <w:tcPr>
            <w:tcW w:w="4082" w:type="dxa"/>
          </w:tcPr>
          <w:p w14:paraId="0B99EA92" w14:textId="5C90B791" w:rsidR="007A3757" w:rsidRPr="007A3757" w:rsidRDefault="007A3757" w:rsidP="007A3757">
            <w:pPr>
              <w:pStyle w:val="TableText"/>
              <w:rPr>
                <w:highlight w:val="yellow"/>
              </w:rPr>
            </w:pPr>
            <w:r w:rsidRPr="00971344">
              <w:t>Private Renter Support Program</w:t>
            </w:r>
          </w:p>
        </w:tc>
        <w:tc>
          <w:tcPr>
            <w:tcW w:w="1360" w:type="dxa"/>
          </w:tcPr>
          <w:p w14:paraId="2AC8A38E" w14:textId="25A83508" w:rsidR="007A3757" w:rsidRPr="00847B87" w:rsidRDefault="007A3757" w:rsidP="007A3757">
            <w:pPr>
              <w:pStyle w:val="TableTextRight"/>
            </w:pPr>
            <w:r w:rsidRPr="00971344">
              <w:t>$661,560</w:t>
            </w:r>
          </w:p>
        </w:tc>
        <w:tc>
          <w:tcPr>
            <w:tcW w:w="1361" w:type="dxa"/>
          </w:tcPr>
          <w:p w14:paraId="6E37411F" w14:textId="50134BFF" w:rsidR="007A3757" w:rsidRPr="00847B87" w:rsidRDefault="007A3757" w:rsidP="007A3757">
            <w:pPr>
              <w:pStyle w:val="TableTextRight"/>
            </w:pPr>
            <w:r w:rsidRPr="00971344">
              <w:t>$69,840</w:t>
            </w:r>
          </w:p>
        </w:tc>
      </w:tr>
      <w:tr w:rsidR="007A3757" w:rsidRPr="00934136" w14:paraId="7EF9CB6E" w14:textId="77777777" w:rsidTr="00934136">
        <w:trPr>
          <w:trHeight w:val="60"/>
        </w:trPr>
        <w:tc>
          <w:tcPr>
            <w:tcW w:w="2269" w:type="dxa"/>
          </w:tcPr>
          <w:p w14:paraId="341FA239" w14:textId="2703454A" w:rsidR="007A3757" w:rsidRPr="00847B87" w:rsidRDefault="007A3757" w:rsidP="007A3757">
            <w:pPr>
              <w:pStyle w:val="TableText"/>
            </w:pPr>
            <w:r w:rsidRPr="00971344">
              <w:t>Tenants Victoria</w:t>
            </w:r>
          </w:p>
        </w:tc>
        <w:tc>
          <w:tcPr>
            <w:tcW w:w="4082" w:type="dxa"/>
          </w:tcPr>
          <w:p w14:paraId="3C9F412B" w14:textId="070B473C" w:rsidR="007A3757" w:rsidRPr="007A3757" w:rsidRDefault="007A3757" w:rsidP="007A3757">
            <w:pPr>
              <w:pStyle w:val="TableText"/>
              <w:rPr>
                <w:highlight w:val="yellow"/>
              </w:rPr>
            </w:pPr>
            <w:r w:rsidRPr="00971344">
              <w:t>The Rental Stress Hub</w:t>
            </w:r>
          </w:p>
        </w:tc>
        <w:tc>
          <w:tcPr>
            <w:tcW w:w="1360" w:type="dxa"/>
          </w:tcPr>
          <w:p w14:paraId="4493EE01" w14:textId="011C5D3B" w:rsidR="007A3757" w:rsidRPr="00847B87" w:rsidRDefault="007A3757" w:rsidP="007A3757">
            <w:pPr>
              <w:pStyle w:val="TableTextRight"/>
            </w:pPr>
            <w:r w:rsidRPr="00971344">
              <w:t>$1,800,000</w:t>
            </w:r>
          </w:p>
        </w:tc>
        <w:tc>
          <w:tcPr>
            <w:tcW w:w="1361" w:type="dxa"/>
          </w:tcPr>
          <w:p w14:paraId="7A1E7EF7" w14:textId="586CB7CE" w:rsidR="007A3757" w:rsidRPr="00847B87" w:rsidRDefault="007A3757" w:rsidP="007A3757">
            <w:pPr>
              <w:pStyle w:val="TableTextRight"/>
            </w:pPr>
            <w:r w:rsidRPr="00971344">
              <w:t>$500,000</w:t>
            </w:r>
          </w:p>
        </w:tc>
      </w:tr>
    </w:tbl>
    <w:p w14:paraId="4D7ABAA8" w14:textId="77777777" w:rsidR="006157B7" w:rsidRPr="006157B7" w:rsidRDefault="006157B7" w:rsidP="006157B7">
      <w:pPr>
        <w:pStyle w:val="BodyText"/>
      </w:pPr>
      <w:r w:rsidRPr="006157B7">
        <w:br w:type="page"/>
      </w:r>
    </w:p>
    <w:p w14:paraId="546542C1" w14:textId="7E9FA49B" w:rsidR="005D12F7" w:rsidRPr="00934136" w:rsidRDefault="005D12F7" w:rsidP="005D12F7">
      <w:pPr>
        <w:pStyle w:val="Heading4"/>
      </w:pPr>
      <w:r w:rsidRPr="00934136">
        <w:lastRenderedPageBreak/>
        <w:t>Statement of Expectations</w:t>
      </w:r>
    </w:p>
    <w:p w14:paraId="4BBEC832" w14:textId="63801127" w:rsidR="005D12F7" w:rsidRPr="00934136" w:rsidRDefault="005D12F7" w:rsidP="005D12F7">
      <w:pPr>
        <w:pStyle w:val="BodyText"/>
      </w:pPr>
      <w:r w:rsidRPr="00934136">
        <w:t xml:space="preserve">In June 2023, the Ministers for Consumer Affairs and Small Business issued Statements of Expectations (SOE) to CAV and the Business Licensing Authority for 2023–24. The SOEs are published in the </w:t>
      </w:r>
      <w:hyperlink r:id="rId18" w:history="1">
        <w:r w:rsidRPr="006157B7">
          <w:rPr>
            <w:rStyle w:val="Hyperlink"/>
          </w:rPr>
          <w:t>‘About us’ section of our website</w:t>
        </w:r>
      </w:hyperlink>
      <w:r w:rsidRPr="00934136">
        <w:t xml:space="preserve"> at </w:t>
      </w:r>
      <w:r w:rsidRPr="006157B7">
        <w:t>consumer.vic.gov.au/about-us</w:t>
      </w:r>
      <w:r w:rsidRPr="00934136">
        <w:t>.</w:t>
      </w:r>
    </w:p>
    <w:p w14:paraId="7112F715" w14:textId="77777777" w:rsidR="005D12F7" w:rsidRPr="00934136" w:rsidRDefault="005D12F7" w:rsidP="005D12F7">
      <w:pPr>
        <w:pStyle w:val="BodyText"/>
      </w:pPr>
      <w:r w:rsidRPr="00934136">
        <w:t>CAV’s SOE set out governance and performance objectives aimed at improving CAV’s administration and enforcement of regulation to reduce its impact on businesses and the community. The performance objectives identified in the SOE cover five expectations from the Minister, set out below:</w:t>
      </w:r>
    </w:p>
    <w:p w14:paraId="7F9DE76C" w14:textId="77777777" w:rsidR="005D12F7" w:rsidRPr="00934136" w:rsidRDefault="005D12F7" w:rsidP="006157B7">
      <w:pPr>
        <w:pStyle w:val="Heading5"/>
      </w:pPr>
      <w:r w:rsidRPr="00934136">
        <w:t>Protecting Victorians: Protecting Victorians from the impacts of rising cost of living pressure</w:t>
      </w:r>
    </w:p>
    <w:p w14:paraId="67C411BE" w14:textId="431EE0CE" w:rsidR="005D12F7" w:rsidRPr="00934136" w:rsidRDefault="005D12F7" w:rsidP="005D12F7">
      <w:pPr>
        <w:pStyle w:val="BodyText"/>
      </w:pPr>
      <w:r w:rsidRPr="00934136">
        <w:t xml:space="preserve">The stated expectation was that CAV would focus on protecting Victorians from the impacts of rising cost of living pressures by providing a timely response (including accurate communications and effective investigation and enforcement activities) to the most significant risks of harm caused by </w:t>
      </w:r>
      <w:r w:rsidR="006157B7">
        <w:br/>
      </w:r>
      <w:r w:rsidRPr="00934136">
        <w:t>non-compliant trader and rental provider conduct, in particular:</w:t>
      </w:r>
    </w:p>
    <w:p w14:paraId="67E99B6F" w14:textId="77777777" w:rsidR="005D12F7" w:rsidRPr="00934136" w:rsidRDefault="005D12F7" w:rsidP="005D12F7">
      <w:pPr>
        <w:pStyle w:val="ListBullet"/>
      </w:pPr>
      <w:r w:rsidRPr="00934136">
        <w:t>domestic building industry challenges leading to unfinished or defective homes or loss of monies paid upfront</w:t>
      </w:r>
    </w:p>
    <w:p w14:paraId="07FCE35E" w14:textId="77777777" w:rsidR="005D12F7" w:rsidRPr="00934136" w:rsidRDefault="005D12F7" w:rsidP="005D12F7">
      <w:pPr>
        <w:pStyle w:val="ListBullet"/>
      </w:pPr>
      <w:r w:rsidRPr="00934136">
        <w:t>rental providers failing to provide safe and secure accommodation that meets minimum standards, and</w:t>
      </w:r>
    </w:p>
    <w:p w14:paraId="0BAB5229" w14:textId="77777777" w:rsidR="005D12F7" w:rsidRPr="00934136" w:rsidRDefault="005D12F7" w:rsidP="005D12F7">
      <w:pPr>
        <w:pStyle w:val="ListBullet"/>
      </w:pPr>
      <w:r w:rsidRPr="00934136">
        <w:t>motor car traders that sell poor quality cars and fail to provide a remedy for defects.</w:t>
      </w:r>
    </w:p>
    <w:p w14:paraId="467BAD89" w14:textId="77777777" w:rsidR="005D12F7" w:rsidRPr="00934136" w:rsidRDefault="005D12F7" w:rsidP="005D12F7">
      <w:pPr>
        <w:pStyle w:val="Heading6"/>
      </w:pPr>
      <w:r w:rsidRPr="00934136">
        <w:t>Implementation</w:t>
      </w:r>
    </w:p>
    <w:p w14:paraId="11BD34EB" w14:textId="16CE0CD3" w:rsidR="005D12F7" w:rsidRPr="00934136" w:rsidRDefault="005D12F7" w:rsidP="005D12F7">
      <w:pPr>
        <w:pStyle w:val="BodyText"/>
      </w:pPr>
      <w:r w:rsidRPr="00934136">
        <w:t>CAV provided new information, education and advice to the public in these priority areas, including a</w:t>
      </w:r>
      <w:r w:rsidR="006157B7">
        <w:t> </w:t>
      </w:r>
      <w:r w:rsidRPr="00934136">
        <w:t>state-wide digital communications campaign to raise awareness of the mandatory rental minimum standards and new domestic building information and advice. We also assessed, escalated and investigated matters for non</w:t>
      </w:r>
      <w:r w:rsidRPr="00934136">
        <w:rPr>
          <w:rFonts w:ascii="Times New Roman" w:hAnsi="Times New Roman" w:cs="Times New Roman"/>
        </w:rPr>
        <w:t>‑</w:t>
      </w:r>
      <w:r w:rsidRPr="00934136">
        <w:t>compliance with core investigation tools being improved. A significant number of matters were endorsed for legal proceedings and there were multiple enforcement outcomes.</w:t>
      </w:r>
    </w:p>
    <w:p w14:paraId="22A3CE2D" w14:textId="77777777" w:rsidR="005D12F7" w:rsidRPr="00934136" w:rsidRDefault="005D12F7" w:rsidP="006157B7">
      <w:pPr>
        <w:pStyle w:val="Heading5"/>
      </w:pPr>
      <w:r w:rsidRPr="00934136">
        <w:t>Supporting all Victorians: Supporting all Victorians through inclusive and accessible services, especially those experiencing vulnerability</w:t>
      </w:r>
    </w:p>
    <w:p w14:paraId="01294DAC" w14:textId="77777777" w:rsidR="005D12F7" w:rsidRPr="00934136" w:rsidRDefault="005D12F7" w:rsidP="005D12F7">
      <w:pPr>
        <w:pStyle w:val="BodyText"/>
      </w:pPr>
      <w:r w:rsidRPr="00934136">
        <w:t>The stated expectation was that CAV would focus on supporting all Victorians, especially those experiencing vulnerability, through inclusive and accessible services – in particular through working within the Department of Government Services and partnering with Service Victoria to make it easier and quicker for Victorians to find, access and use important consumer protection information and advice.</w:t>
      </w:r>
    </w:p>
    <w:p w14:paraId="2895713D" w14:textId="77777777" w:rsidR="005D12F7" w:rsidRPr="00934136" w:rsidRDefault="005D12F7" w:rsidP="005D12F7">
      <w:pPr>
        <w:pStyle w:val="Heading6"/>
      </w:pPr>
      <w:r w:rsidRPr="00934136">
        <w:t>Implementation</w:t>
      </w:r>
    </w:p>
    <w:p w14:paraId="0825FC05" w14:textId="77777777" w:rsidR="005D12F7" w:rsidRPr="00934136" w:rsidRDefault="005D12F7" w:rsidP="005D12F7">
      <w:pPr>
        <w:pStyle w:val="BodyText"/>
      </w:pPr>
      <w:r w:rsidRPr="00934136">
        <w:t>CAV funds many community organisations to deliver accessible services to the community, such as financial counselling agencies. We bolstered funding this year through grants stemming from the Rental Stress Support Package, as well as announcing a new funding round for additional financial counselling grants.</w:t>
      </w:r>
    </w:p>
    <w:p w14:paraId="3441F60A" w14:textId="77777777" w:rsidR="005D12F7" w:rsidRPr="00934136" w:rsidRDefault="005D12F7" w:rsidP="005D12F7">
      <w:pPr>
        <w:pStyle w:val="BodyText"/>
      </w:pPr>
      <w:r w:rsidRPr="00934136">
        <w:t xml:space="preserve">To help Victorians find and access consumer protection and advice, we made significant upgrades to the CAV website, which is a vital tool for providing consumers with information and insights into their rights. We redeveloped the website to create a more user-centric platform with content that is easier to </w:t>
      </w:r>
      <w:r w:rsidRPr="00934136">
        <w:lastRenderedPageBreak/>
        <w:t>locate and understand. To further increase the community’s access to information, we worked with DGS to transition the IDSC to the broader contact centre. We made these services more inclusive of the Aboriginal community with the launch of the Yarrka Barring initiative, CAV’s dedicated First Nations helpline and webpage resource in August 2024.</w:t>
      </w:r>
    </w:p>
    <w:p w14:paraId="6188B1E3" w14:textId="08965E31" w:rsidR="005D12F7" w:rsidRPr="00934136" w:rsidRDefault="005D12F7" w:rsidP="005D12F7">
      <w:pPr>
        <w:pStyle w:val="BodyText"/>
      </w:pPr>
      <w:r w:rsidRPr="00934136">
        <w:t>Our compliance and education activities prioritise, among other things, vulnerable cohorts within the</w:t>
      </w:r>
      <w:r w:rsidR="006157B7">
        <w:t> </w:t>
      </w:r>
      <w:r w:rsidRPr="00934136">
        <w:t>Victorian community. For example, in 2023–24 CAV continued to deliver our Rooming House Minimum Standards compliance project, aimed at making rooming houses – often the last resort for some of the most vulnerable Victorians – safer and more comfortable. Throughout the year, we supported the most vulnerable Victorians by providing funding for financial counselling, renting and consumer assistance and advocacy agencies to deliver critical support.</w:t>
      </w:r>
    </w:p>
    <w:p w14:paraId="541D4843" w14:textId="77777777" w:rsidR="005D12F7" w:rsidRPr="00934136" w:rsidRDefault="005D12F7" w:rsidP="006157B7">
      <w:pPr>
        <w:pStyle w:val="Heading5"/>
      </w:pPr>
      <w:r w:rsidRPr="00934136">
        <w:t>Digital technology: Harnessing digital technologies to improve CAV services and make the most of CAV data and resources for the community</w:t>
      </w:r>
    </w:p>
    <w:p w14:paraId="026A1EFD" w14:textId="77777777" w:rsidR="005D12F7" w:rsidRPr="00934136" w:rsidRDefault="005D12F7" w:rsidP="005D12F7">
      <w:pPr>
        <w:pStyle w:val="BodyText"/>
      </w:pPr>
      <w:r w:rsidRPr="00934136">
        <w:t>The stated expectation was that CAV would focus on working within the Department of Government Services and partnering with Service Victoria to harness digital technologies to improve CAV services and make the most of CAV data and resources for the community, including delivery of a new online residential tenancies bond system.</w:t>
      </w:r>
    </w:p>
    <w:p w14:paraId="3C3391EC" w14:textId="77777777" w:rsidR="005D12F7" w:rsidRPr="00934136" w:rsidRDefault="005D12F7" w:rsidP="005D12F7">
      <w:pPr>
        <w:pStyle w:val="Heading6"/>
      </w:pPr>
      <w:r w:rsidRPr="00934136">
        <w:t>Implementation</w:t>
      </w:r>
    </w:p>
    <w:p w14:paraId="2171E58D" w14:textId="4D075305" w:rsidR="005D12F7" w:rsidRPr="00934136" w:rsidRDefault="005D12F7" w:rsidP="005D12F7">
      <w:pPr>
        <w:pStyle w:val="BodyText"/>
      </w:pPr>
      <w:r w:rsidRPr="00934136">
        <w:t>CAV launched a series of new and upgraded online forms to support consumers and renters in exercising their rights. These included a new ‘Report a rental’ web complaint form and an online ‘Request for rental assessment form’, which replaced a more manual and cumbersome process. We</w:t>
      </w:r>
      <w:r w:rsidR="006157B7">
        <w:t> </w:t>
      </w:r>
      <w:r w:rsidRPr="00934136">
        <w:t>also upgraded our website. We continued to upgrade our licensing and registration systems to make it easier and faster for users to manage their regulatory obligations with us, transitioning from legacy systems to myCAV.</w:t>
      </w:r>
    </w:p>
    <w:p w14:paraId="29802266" w14:textId="77777777" w:rsidR="005D12F7" w:rsidRPr="00934136" w:rsidRDefault="005D12F7" w:rsidP="005D12F7">
      <w:pPr>
        <w:pStyle w:val="BodyText"/>
      </w:pPr>
      <w:r w:rsidRPr="00934136">
        <w:t>CAV also completed a data strategy and roadmap project in 2023–24, informing improvements that can be made to CAV’s data structures, systems, and processes with the goal of improving CAV’s overall understanding of consumer engagement and better informing decision making. Enhancements will be made in implementing this roadmap.</w:t>
      </w:r>
    </w:p>
    <w:p w14:paraId="33B4642B" w14:textId="77777777" w:rsidR="005D12F7" w:rsidRPr="00934136" w:rsidRDefault="005D12F7" w:rsidP="006157B7">
      <w:pPr>
        <w:pStyle w:val="Heading5"/>
      </w:pPr>
      <w:r w:rsidRPr="00934136">
        <w:t>Engaging with the community: Engaging with partners to better serve Victorian communities</w:t>
      </w:r>
    </w:p>
    <w:p w14:paraId="2A73998B" w14:textId="42529008" w:rsidR="005D12F7" w:rsidRPr="00934136" w:rsidRDefault="005D12F7" w:rsidP="005D12F7">
      <w:pPr>
        <w:pStyle w:val="BodyText"/>
      </w:pPr>
      <w:r w:rsidRPr="00934136">
        <w:t>The stated expectation was that CAV would focus on engaging with partners, stakeholders, and</w:t>
      </w:r>
      <w:r w:rsidR="006157B7">
        <w:t> </w:t>
      </w:r>
      <w:r w:rsidRPr="00934136">
        <w:t>industry to better understand and serve Victorian communities, in particular:</w:t>
      </w:r>
    </w:p>
    <w:p w14:paraId="2FD62DC2" w14:textId="77777777" w:rsidR="005D12F7" w:rsidRPr="00934136" w:rsidRDefault="005D12F7" w:rsidP="005D12F7">
      <w:pPr>
        <w:pStyle w:val="ListBullet"/>
      </w:pPr>
      <w:r w:rsidRPr="00934136">
        <w:t>holding regular forums and engagement opportunities to understand emerging issues and obtain input into how CAV undertakes its functions, and</w:t>
      </w:r>
    </w:p>
    <w:p w14:paraId="46A63129" w14:textId="77777777" w:rsidR="005D12F7" w:rsidRPr="00934136" w:rsidRDefault="005D12F7" w:rsidP="005D12F7">
      <w:pPr>
        <w:pStyle w:val="ListBullet"/>
      </w:pPr>
      <w:r w:rsidRPr="00934136">
        <w:t>collaborating closely with other regulators where relevant to address risks of harm to the community.</w:t>
      </w:r>
    </w:p>
    <w:p w14:paraId="70B8C8E2" w14:textId="77777777" w:rsidR="005D12F7" w:rsidRPr="00934136" w:rsidRDefault="005D12F7" w:rsidP="005D12F7">
      <w:pPr>
        <w:pStyle w:val="Heading6"/>
      </w:pPr>
      <w:r w:rsidRPr="00934136">
        <w:t>Implementation</w:t>
      </w:r>
    </w:p>
    <w:p w14:paraId="7BFF81E1" w14:textId="77777777" w:rsidR="005D12F7" w:rsidRPr="00934136" w:rsidRDefault="005D12F7" w:rsidP="005D12F7">
      <w:pPr>
        <w:pStyle w:val="BodyText"/>
      </w:pPr>
      <w:r w:rsidRPr="00934136">
        <w:t>CAV’s Stakeholder Engagement Framework, which was developed in consultation with key stakeholders, was published in June 2024. Two new standing stakeholder forums were also established. These were the Consumer and Renter Consultative Forum, and the Housing and Property Advisory Forum. Their first meetings were held in 2023–24.</w:t>
      </w:r>
    </w:p>
    <w:p w14:paraId="142697A4" w14:textId="77777777" w:rsidR="005D12F7" w:rsidRPr="00934136" w:rsidRDefault="005D12F7" w:rsidP="005D12F7">
      <w:pPr>
        <w:pStyle w:val="BodyText"/>
      </w:pPr>
      <w:r w:rsidRPr="00934136">
        <w:lastRenderedPageBreak/>
        <w:t>CAV worked closely with intersecting regulators to address risks to the community. Examples of this include coordinating with the Victorian Building Authority to administer the Professional Engineers Registration Scheme, collaborating with Energy Safe Victoria on minimum safety standards for rental properties, and sharing details on specialist disability accommodation providers with the Office of the Public Advocate, the Transport Accident Commission and the Victorian Workcover Authority.</w:t>
      </w:r>
    </w:p>
    <w:p w14:paraId="27942EA5" w14:textId="77777777" w:rsidR="005D12F7" w:rsidRPr="00934136" w:rsidRDefault="005D12F7" w:rsidP="005D12F7">
      <w:pPr>
        <w:pStyle w:val="BodyText"/>
      </w:pPr>
      <w:r w:rsidRPr="00934136">
        <w:t>CAV also works with interstate counterparts and the Australian Competition and Consumer Commission to administer the Australian Consumer Law, which operates on a single-law, multiple regulator model. Other regulatory bodies we collaborate with include the Essential Services Commission, the Energy and Water Ombudsman Victoria and local councils.</w:t>
      </w:r>
    </w:p>
    <w:p w14:paraId="7ACE2F07" w14:textId="77777777" w:rsidR="005D12F7" w:rsidRPr="00934136" w:rsidRDefault="005D12F7" w:rsidP="006157B7">
      <w:pPr>
        <w:pStyle w:val="Heading5"/>
      </w:pPr>
      <w:r w:rsidRPr="00934136">
        <w:t>Raising awareness: Improving Victorians’ trust in CAV as a regulator</w:t>
      </w:r>
    </w:p>
    <w:p w14:paraId="52EF1D7F" w14:textId="77777777" w:rsidR="005D12F7" w:rsidRPr="00934136" w:rsidRDefault="005D12F7" w:rsidP="005D12F7">
      <w:pPr>
        <w:pStyle w:val="BodyText"/>
      </w:pPr>
      <w:r w:rsidRPr="00934136">
        <w:t>The stated expectation was that CAV would focus on improving Victorians’ trust in CAV as a regulator by raising awareness of CAV’s role and functions and increasing promotion of CAV’s compliance and enforcement activities.</w:t>
      </w:r>
    </w:p>
    <w:p w14:paraId="3A4B7804" w14:textId="77777777" w:rsidR="005D12F7" w:rsidRPr="00934136" w:rsidRDefault="005D12F7" w:rsidP="005D12F7">
      <w:pPr>
        <w:pStyle w:val="Heading6"/>
      </w:pPr>
      <w:r w:rsidRPr="00934136">
        <w:t>Implementation</w:t>
      </w:r>
    </w:p>
    <w:p w14:paraId="7C47F3FC" w14:textId="5B2FF6B9" w:rsidR="005D12F7" w:rsidRPr="00934136" w:rsidRDefault="005D12F7" w:rsidP="005D12F7">
      <w:pPr>
        <w:pStyle w:val="BodyText"/>
      </w:pPr>
      <w:r w:rsidRPr="00934136">
        <w:t xml:space="preserve">The Director of CAV raised CAV’s public profile by undertaking several media engagements in </w:t>
      </w:r>
      <w:r w:rsidR="00512FB0">
        <w:br/>
      </w:r>
      <w:r w:rsidRPr="00934136">
        <w:t>2023–24, including radio interviews on ABC, 3AW and JoyFM on various topics, as well as appearing on TV news in several instances and undertaking an interview with A Current Affair on our ‘Sam the Man Car Care’ public warning. Ministerial releases were also issued on important topics throughout the year, including a scam alert warning before Mother’s Day.</w:t>
      </w:r>
    </w:p>
    <w:p w14:paraId="6F681623" w14:textId="4392360A" w:rsidR="005D12F7" w:rsidRPr="00934136" w:rsidRDefault="005D12F7" w:rsidP="005D12F7">
      <w:pPr>
        <w:pStyle w:val="BodyText"/>
      </w:pPr>
      <w:r w:rsidRPr="00934136">
        <w:t>CAV also leveraged social media to spread awareness of consumer and renting issues, with campaigns on Facebook and other platforms. Dedicated campaigns on rental minimum standards and</w:t>
      </w:r>
      <w:r w:rsidR="00512FB0">
        <w:t> </w:t>
      </w:r>
      <w:r w:rsidRPr="00934136">
        <w:t>underquoting were also delivered in 2023–24.</w:t>
      </w:r>
    </w:p>
    <w:p w14:paraId="7E6243B5" w14:textId="77777777" w:rsidR="006157B7" w:rsidRPr="006157B7" w:rsidRDefault="006157B7" w:rsidP="006157B7">
      <w:pPr>
        <w:pStyle w:val="BodyText"/>
      </w:pPr>
      <w:r w:rsidRPr="006157B7">
        <w:br w:type="page"/>
      </w:r>
    </w:p>
    <w:p w14:paraId="49A05B26" w14:textId="746C6B6E" w:rsidR="002D477F" w:rsidRPr="00934136" w:rsidRDefault="002D477F" w:rsidP="002D477F">
      <w:pPr>
        <w:pStyle w:val="Heading4"/>
      </w:pPr>
      <w:r w:rsidRPr="00934136">
        <w:lastRenderedPageBreak/>
        <w:t>Table: Trust funds administered by CAV</w:t>
      </w:r>
    </w:p>
    <w:tbl>
      <w:tblPr>
        <w:tblStyle w:val="TableGrid"/>
        <w:tblW w:w="9638" w:type="dxa"/>
        <w:tblLayout w:type="fixed"/>
        <w:tblLook w:val="06A0" w:firstRow="1" w:lastRow="0" w:firstColumn="1" w:lastColumn="0" w:noHBand="1" w:noVBand="1"/>
      </w:tblPr>
      <w:tblGrid>
        <w:gridCol w:w="2835"/>
        <w:gridCol w:w="6803"/>
      </w:tblGrid>
      <w:tr w:rsidR="005D12F7" w:rsidRPr="002D477F" w14:paraId="09AAEFA2" w14:textId="77777777" w:rsidTr="002D477F">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5D867CF3" w14:textId="77777777" w:rsidR="005D12F7" w:rsidRPr="002D477F" w:rsidRDefault="005D12F7" w:rsidP="00344571">
            <w:pPr>
              <w:pStyle w:val="TableColHead"/>
            </w:pPr>
            <w:r w:rsidRPr="002D477F">
              <w:t>Trust fund</w:t>
            </w:r>
          </w:p>
        </w:tc>
        <w:tc>
          <w:tcPr>
            <w:tcW w:w="6803" w:type="dxa"/>
          </w:tcPr>
          <w:p w14:paraId="0B7459EF" w14:textId="77777777" w:rsidR="005D12F7" w:rsidRPr="002D477F" w:rsidRDefault="005D12F7" w:rsidP="00344571">
            <w:pPr>
              <w:pStyle w:val="TableColHead"/>
            </w:pPr>
            <w:r w:rsidRPr="002D477F">
              <w:t>Expenditure includes</w:t>
            </w:r>
          </w:p>
        </w:tc>
      </w:tr>
      <w:tr w:rsidR="002D477F" w:rsidRPr="002D477F" w14:paraId="0D93FE9B" w14:textId="77777777" w:rsidTr="002D477F">
        <w:trPr>
          <w:trHeight w:val="60"/>
        </w:trPr>
        <w:tc>
          <w:tcPr>
            <w:tcW w:w="2835" w:type="dxa"/>
          </w:tcPr>
          <w:p w14:paraId="7DB7CA1A" w14:textId="597CE561" w:rsidR="002D477F" w:rsidRPr="002D477F" w:rsidRDefault="002D477F" w:rsidP="002D477F">
            <w:pPr>
              <w:pStyle w:val="TableText"/>
            </w:pPr>
            <w:r w:rsidRPr="00167554">
              <w:t>Domestic Builders Fund</w:t>
            </w:r>
          </w:p>
        </w:tc>
        <w:tc>
          <w:tcPr>
            <w:tcW w:w="6803" w:type="dxa"/>
          </w:tcPr>
          <w:p w14:paraId="0ED146C0" w14:textId="5A1A3AD0" w:rsidR="002D477F" w:rsidRPr="002D477F" w:rsidRDefault="002D477F" w:rsidP="002D477F">
            <w:pPr>
              <w:pStyle w:val="TableText"/>
            </w:pPr>
            <w:r w:rsidRPr="00167554">
              <w:t xml:space="preserve">Administration of the </w:t>
            </w:r>
            <w:r w:rsidRPr="002D477F">
              <w:rPr>
                <w:i/>
                <w:iCs/>
              </w:rPr>
              <w:t>Domestic Building Contracts Act 1995</w:t>
            </w:r>
            <w:r w:rsidRPr="00167554">
              <w:t>, costs relating to the Victorian Civil and Administrative Tribunal (VCAT) Building and Property List and Domestic Building Dispute Resolution Victoria (DBDRV).</w:t>
            </w:r>
          </w:p>
        </w:tc>
      </w:tr>
      <w:tr w:rsidR="002D477F" w:rsidRPr="002D477F" w14:paraId="7885CEFE" w14:textId="77777777" w:rsidTr="002D477F">
        <w:trPr>
          <w:trHeight w:val="60"/>
        </w:trPr>
        <w:tc>
          <w:tcPr>
            <w:tcW w:w="2835" w:type="dxa"/>
          </w:tcPr>
          <w:p w14:paraId="019B4566" w14:textId="65EB08F3" w:rsidR="002D477F" w:rsidRPr="002D477F" w:rsidRDefault="002D477F" w:rsidP="002D477F">
            <w:pPr>
              <w:pStyle w:val="TableText"/>
            </w:pPr>
            <w:r w:rsidRPr="00167554">
              <w:t>Motor Car Traders Guarantee Fund</w:t>
            </w:r>
          </w:p>
        </w:tc>
        <w:tc>
          <w:tcPr>
            <w:tcW w:w="6803" w:type="dxa"/>
          </w:tcPr>
          <w:p w14:paraId="3CC1F94D" w14:textId="4F04869F" w:rsidR="002D477F" w:rsidRPr="002D477F" w:rsidRDefault="002D477F" w:rsidP="002D477F">
            <w:pPr>
              <w:pStyle w:val="TableText"/>
            </w:pPr>
            <w:r w:rsidRPr="00167554">
              <w:t xml:space="preserve">Administration of the </w:t>
            </w:r>
            <w:r w:rsidRPr="002D477F">
              <w:rPr>
                <w:i/>
                <w:iCs/>
              </w:rPr>
              <w:t>Motor Car Traders Act 1986</w:t>
            </w:r>
            <w:r w:rsidRPr="00167554">
              <w:t>, guarantee fund claims.</w:t>
            </w:r>
          </w:p>
        </w:tc>
      </w:tr>
      <w:tr w:rsidR="002D477F" w:rsidRPr="002D477F" w14:paraId="6DA5365F" w14:textId="77777777" w:rsidTr="002D477F">
        <w:trPr>
          <w:trHeight w:val="60"/>
        </w:trPr>
        <w:tc>
          <w:tcPr>
            <w:tcW w:w="2835" w:type="dxa"/>
          </w:tcPr>
          <w:p w14:paraId="4062F1A4" w14:textId="44E4F183" w:rsidR="002D477F" w:rsidRPr="002D477F" w:rsidRDefault="002D477F" w:rsidP="002D477F">
            <w:pPr>
              <w:pStyle w:val="TableText"/>
            </w:pPr>
            <w:r w:rsidRPr="00167554">
              <w:t>Residential Bonds Account</w:t>
            </w:r>
          </w:p>
        </w:tc>
        <w:tc>
          <w:tcPr>
            <w:tcW w:w="6803" w:type="dxa"/>
          </w:tcPr>
          <w:p w14:paraId="2EDCF4B9" w14:textId="373B9A37" w:rsidR="002D477F" w:rsidRPr="002D477F" w:rsidRDefault="002D477F" w:rsidP="002D477F">
            <w:pPr>
              <w:pStyle w:val="TableText"/>
            </w:pPr>
            <w:r w:rsidRPr="00167554">
              <w:t>Bonds held on trust for Victorian renters and rental providers.</w:t>
            </w:r>
          </w:p>
        </w:tc>
      </w:tr>
      <w:tr w:rsidR="002D477F" w:rsidRPr="002D477F" w14:paraId="5EA0BCF4" w14:textId="77777777" w:rsidTr="002D477F">
        <w:trPr>
          <w:trHeight w:val="60"/>
        </w:trPr>
        <w:tc>
          <w:tcPr>
            <w:tcW w:w="2835" w:type="dxa"/>
          </w:tcPr>
          <w:p w14:paraId="7623BA31" w14:textId="58F9C0BC" w:rsidR="002D477F" w:rsidRPr="002D477F" w:rsidRDefault="002D477F" w:rsidP="002D477F">
            <w:pPr>
              <w:pStyle w:val="TableText"/>
            </w:pPr>
            <w:r w:rsidRPr="00167554">
              <w:t>Residential Bonds Investment Income Account</w:t>
            </w:r>
          </w:p>
        </w:tc>
        <w:tc>
          <w:tcPr>
            <w:tcW w:w="6803" w:type="dxa"/>
          </w:tcPr>
          <w:p w14:paraId="53AAE85B" w14:textId="0FB1F302" w:rsidR="002D477F" w:rsidRPr="002D477F" w:rsidRDefault="002D477F" w:rsidP="002D477F">
            <w:pPr>
              <w:pStyle w:val="TableText"/>
            </w:pPr>
            <w:r w:rsidRPr="00167554">
              <w:t>Administration of the Residential Tenancies Bond Authority, transfers to the Residential Tenancies Fund.</w:t>
            </w:r>
          </w:p>
        </w:tc>
      </w:tr>
      <w:tr w:rsidR="002D477F" w:rsidRPr="002D477F" w14:paraId="7D1D8E98" w14:textId="77777777" w:rsidTr="002D477F">
        <w:trPr>
          <w:trHeight w:val="60"/>
        </w:trPr>
        <w:tc>
          <w:tcPr>
            <w:tcW w:w="2835" w:type="dxa"/>
          </w:tcPr>
          <w:p w14:paraId="577DCAEF" w14:textId="6000127E" w:rsidR="002D477F" w:rsidRPr="002D477F" w:rsidRDefault="002D477F" w:rsidP="002D477F">
            <w:pPr>
              <w:pStyle w:val="TableText"/>
            </w:pPr>
            <w:r w:rsidRPr="00167554">
              <w:t>Residential Tenancies Fund</w:t>
            </w:r>
          </w:p>
        </w:tc>
        <w:tc>
          <w:tcPr>
            <w:tcW w:w="6803" w:type="dxa"/>
          </w:tcPr>
          <w:p w14:paraId="0FDF1B0E" w14:textId="467EEFBD" w:rsidR="002D477F" w:rsidRPr="002D477F" w:rsidRDefault="002D477F" w:rsidP="002D477F">
            <w:pPr>
              <w:pStyle w:val="TableText"/>
            </w:pPr>
            <w:r w:rsidRPr="00167554">
              <w:t xml:space="preserve">Administration of the </w:t>
            </w:r>
            <w:r w:rsidRPr="002D477F">
              <w:rPr>
                <w:i/>
                <w:iCs/>
              </w:rPr>
              <w:t>Residential Tenancies Act 1997</w:t>
            </w:r>
            <w:r w:rsidRPr="00167554">
              <w:t>, costs relating to the VCAT</w:t>
            </w:r>
            <w:r>
              <w:t> </w:t>
            </w:r>
            <w:r w:rsidRPr="00167554">
              <w:t>Residential Tenancies List.</w:t>
            </w:r>
          </w:p>
        </w:tc>
      </w:tr>
      <w:tr w:rsidR="002D477F" w:rsidRPr="002D477F" w14:paraId="266A7248" w14:textId="77777777" w:rsidTr="002D477F">
        <w:trPr>
          <w:trHeight w:val="60"/>
        </w:trPr>
        <w:tc>
          <w:tcPr>
            <w:tcW w:w="2835" w:type="dxa"/>
          </w:tcPr>
          <w:p w14:paraId="71F46B5B" w14:textId="7DF6F16F" w:rsidR="002D477F" w:rsidRPr="002D477F" w:rsidRDefault="002D477F" w:rsidP="002D477F">
            <w:pPr>
              <w:pStyle w:val="TableText"/>
            </w:pPr>
            <w:r w:rsidRPr="00167554">
              <w:t>Sex Work Regulation Fund</w:t>
            </w:r>
          </w:p>
        </w:tc>
        <w:tc>
          <w:tcPr>
            <w:tcW w:w="6803" w:type="dxa"/>
          </w:tcPr>
          <w:p w14:paraId="48C771ED" w14:textId="13AD0EBB" w:rsidR="002D477F" w:rsidRPr="002D477F" w:rsidRDefault="002D477F" w:rsidP="002D477F">
            <w:pPr>
              <w:pStyle w:val="TableText"/>
            </w:pPr>
            <w:r w:rsidRPr="00167554">
              <w:t xml:space="preserve">Administration of the </w:t>
            </w:r>
            <w:r w:rsidRPr="002D477F">
              <w:rPr>
                <w:i/>
                <w:iCs/>
              </w:rPr>
              <w:t>Sex Work Act 1994</w:t>
            </w:r>
            <w:r w:rsidRPr="00934136">
              <w:rPr>
                <w:rStyle w:val="FootnoteReference"/>
              </w:rPr>
              <w:footnoteReference w:id="15"/>
            </w:r>
            <w:r w:rsidRPr="00167554">
              <w:t>.</w:t>
            </w:r>
          </w:p>
        </w:tc>
      </w:tr>
      <w:tr w:rsidR="002D477F" w:rsidRPr="002D477F" w14:paraId="60D38628" w14:textId="77777777" w:rsidTr="002D477F">
        <w:trPr>
          <w:trHeight w:val="60"/>
        </w:trPr>
        <w:tc>
          <w:tcPr>
            <w:tcW w:w="2835" w:type="dxa"/>
          </w:tcPr>
          <w:p w14:paraId="5CAEFE2F" w14:textId="04BE8B18" w:rsidR="002D477F" w:rsidRPr="002D477F" w:rsidRDefault="002D477F" w:rsidP="002D477F">
            <w:pPr>
              <w:pStyle w:val="TableText"/>
            </w:pPr>
            <w:r w:rsidRPr="00167554">
              <w:t>Victorian Consumer Law Fund</w:t>
            </w:r>
          </w:p>
        </w:tc>
        <w:tc>
          <w:tcPr>
            <w:tcW w:w="6803" w:type="dxa"/>
          </w:tcPr>
          <w:p w14:paraId="405A3C99" w14:textId="7759A522" w:rsidR="002D477F" w:rsidRPr="002D477F" w:rsidRDefault="002D477F" w:rsidP="002D477F">
            <w:pPr>
              <w:pStyle w:val="TableText"/>
            </w:pPr>
            <w:r w:rsidRPr="00167554">
              <w:t xml:space="preserve">Administration of the </w:t>
            </w:r>
            <w:r w:rsidRPr="002D477F">
              <w:rPr>
                <w:i/>
                <w:iCs/>
              </w:rPr>
              <w:t>Australian Consumer Law and Fair Trading Act 2012</w:t>
            </w:r>
            <w:r w:rsidRPr="00167554">
              <w:t xml:space="preserve"> Part 7, Division 2, s. 102A to E, orders for payment to non-party consumers, special purpose grants.</w:t>
            </w:r>
          </w:p>
        </w:tc>
      </w:tr>
      <w:tr w:rsidR="002D477F" w:rsidRPr="002D477F" w14:paraId="4FBC08D2" w14:textId="77777777" w:rsidTr="002D477F">
        <w:trPr>
          <w:trHeight w:val="60"/>
        </w:trPr>
        <w:tc>
          <w:tcPr>
            <w:tcW w:w="2835" w:type="dxa"/>
          </w:tcPr>
          <w:p w14:paraId="2DCE9ECC" w14:textId="1F13C2C9" w:rsidR="002D477F" w:rsidRPr="002D477F" w:rsidRDefault="002D477F" w:rsidP="002D477F">
            <w:pPr>
              <w:pStyle w:val="TableText"/>
            </w:pPr>
            <w:r w:rsidRPr="00167554">
              <w:t>Victorian Property Fund</w:t>
            </w:r>
          </w:p>
        </w:tc>
        <w:tc>
          <w:tcPr>
            <w:tcW w:w="6803" w:type="dxa"/>
          </w:tcPr>
          <w:p w14:paraId="6AAED205" w14:textId="7742DFBB" w:rsidR="002D477F" w:rsidRPr="002D477F" w:rsidRDefault="002D477F" w:rsidP="002D477F">
            <w:pPr>
              <w:pStyle w:val="TableText"/>
            </w:pPr>
            <w:r w:rsidRPr="00167554">
              <w:t xml:space="preserve">Administration of the </w:t>
            </w:r>
            <w:r w:rsidRPr="002D477F">
              <w:rPr>
                <w:i/>
                <w:iCs/>
              </w:rPr>
              <w:t>Estate Agents Act 1980</w:t>
            </w:r>
            <w:r w:rsidRPr="00167554">
              <w:t xml:space="preserve"> and other real estate related legislation as permitted by s. 75 of the Act, grants relating to property and housing as permitted by s. 76(3) of the Act, operation of the Estate Agents Council</w:t>
            </w:r>
            <w:r w:rsidRPr="00167554">
              <w:rPr>
                <w:rFonts w:cs="Arial"/>
              </w:rPr>
              <w:t> </w:t>
            </w:r>
            <w:r w:rsidRPr="00934136">
              <w:rPr>
                <w:rStyle w:val="FootnoteReference"/>
              </w:rPr>
              <w:footnoteReference w:id="16"/>
            </w:r>
            <w:r w:rsidRPr="00167554">
              <w:t>, trust fund claims, costs relating to the VCAT Owners Corporation List and contribution to the costs of the VCAT Residential Tenancies List.</w:t>
            </w:r>
          </w:p>
        </w:tc>
      </w:tr>
    </w:tbl>
    <w:p w14:paraId="15A35EFF" w14:textId="77777777" w:rsidR="00DE3B0D" w:rsidRPr="00934136" w:rsidRDefault="00DE3B0D" w:rsidP="00D23ECC">
      <w:pPr>
        <w:pStyle w:val="BodyText"/>
        <w:rPr>
          <w:highlight w:val="yellow"/>
        </w:rPr>
      </w:pPr>
    </w:p>
    <w:p w14:paraId="65CA8AFE" w14:textId="77777777" w:rsidR="00F22B33" w:rsidRPr="00934136" w:rsidRDefault="00F22B33" w:rsidP="00AE374E">
      <w:pPr>
        <w:pStyle w:val="Heading2"/>
        <w:rPr>
          <w:highlight w:val="yellow"/>
        </w:rPr>
        <w:sectPr w:rsidR="00F22B33" w:rsidRPr="00934136" w:rsidSect="00FB2F9B">
          <w:footerReference w:type="even" r:id="rId19"/>
          <w:footerReference w:type="default" r:id="rId20"/>
          <w:footerReference w:type="first" r:id="rId21"/>
          <w:footnotePr>
            <w:numRestart w:val="eachPage"/>
          </w:footnotePr>
          <w:type w:val="continuous"/>
          <w:pgSz w:w="11906" w:h="16838" w:code="9"/>
          <w:pgMar w:top="1418" w:right="1418" w:bottom="1134" w:left="1418" w:header="510" w:footer="510" w:gutter="0"/>
          <w:cols w:space="708"/>
          <w:titlePg/>
          <w:docGrid w:linePitch="360"/>
        </w:sectPr>
      </w:pPr>
    </w:p>
    <w:p w14:paraId="160919A0" w14:textId="58E41F7E" w:rsidR="00DE3B0D" w:rsidRPr="00641860" w:rsidRDefault="00DE3B0D" w:rsidP="00AE374E">
      <w:pPr>
        <w:pStyle w:val="Heading2"/>
      </w:pPr>
      <w:bookmarkStart w:id="11" w:name="_Toc181015737"/>
      <w:r w:rsidRPr="00641860">
        <w:lastRenderedPageBreak/>
        <w:t>Financial</w:t>
      </w:r>
      <w:r w:rsidR="00B556A3" w:rsidRPr="00641860">
        <w:t xml:space="preserve"> </w:t>
      </w:r>
      <w:r w:rsidRPr="00641860">
        <w:t>information</w:t>
      </w:r>
      <w:r w:rsidR="00B556A3" w:rsidRPr="00641860">
        <w:t xml:space="preserve"> </w:t>
      </w:r>
      <w:r w:rsidRPr="00641860">
        <w:t>202</w:t>
      </w:r>
      <w:r w:rsidR="00912E0E" w:rsidRPr="00641860">
        <w:t>3</w:t>
      </w:r>
      <w:r w:rsidRPr="00641860">
        <w:t>–2</w:t>
      </w:r>
      <w:r w:rsidR="00912E0E" w:rsidRPr="00641860">
        <w:t>4</w:t>
      </w:r>
      <w:bookmarkEnd w:id="11"/>
    </w:p>
    <w:tbl>
      <w:tblPr>
        <w:tblStyle w:val="TableGrid"/>
        <w:tblW w:w="21263" w:type="dxa"/>
        <w:tblLayout w:type="fixed"/>
        <w:tblLook w:val="06A0" w:firstRow="1" w:lastRow="0" w:firstColumn="1" w:lastColumn="0" w:noHBand="1" w:noVBand="1"/>
      </w:tblPr>
      <w:tblGrid>
        <w:gridCol w:w="7471"/>
        <w:gridCol w:w="1724"/>
        <w:gridCol w:w="1724"/>
        <w:gridCol w:w="1724"/>
        <w:gridCol w:w="1724"/>
        <w:gridCol w:w="1724"/>
        <w:gridCol w:w="1724"/>
        <w:gridCol w:w="1724"/>
        <w:gridCol w:w="1724"/>
      </w:tblGrid>
      <w:tr w:rsidR="003C1B11" w:rsidRPr="00641860" w14:paraId="0FAA7B37" w14:textId="77777777" w:rsidTr="00641860">
        <w:trPr>
          <w:cnfStyle w:val="100000000000" w:firstRow="1" w:lastRow="0" w:firstColumn="0" w:lastColumn="0" w:oddVBand="0" w:evenVBand="0" w:oddHBand="0" w:evenHBand="0" w:firstRowFirstColumn="0" w:firstRowLastColumn="0" w:lastRowFirstColumn="0" w:lastRowLastColumn="0"/>
          <w:trHeight w:val="60"/>
          <w:tblHeader/>
        </w:trPr>
        <w:tc>
          <w:tcPr>
            <w:tcW w:w="7471" w:type="dxa"/>
          </w:tcPr>
          <w:p w14:paraId="1F709CA7" w14:textId="77777777" w:rsidR="003C1B11" w:rsidRPr="00641860" w:rsidRDefault="003C1B11" w:rsidP="00FC3054">
            <w:pPr>
              <w:pStyle w:val="TableColHead"/>
            </w:pPr>
          </w:p>
        </w:tc>
        <w:tc>
          <w:tcPr>
            <w:tcW w:w="1724" w:type="dxa"/>
          </w:tcPr>
          <w:p w14:paraId="3E366937" w14:textId="222FDA3F" w:rsidR="003C1B11" w:rsidRPr="00641860" w:rsidRDefault="003C1B11" w:rsidP="00FC3054">
            <w:pPr>
              <w:pStyle w:val="TableColHeadRight"/>
            </w:pPr>
            <w:r w:rsidRPr="00641860">
              <w:t>Victorian</w:t>
            </w:r>
            <w:r w:rsidR="00B556A3" w:rsidRPr="00641860">
              <w:t xml:space="preserve"> </w:t>
            </w:r>
            <w:r w:rsidRPr="00641860">
              <w:t>Consumer</w:t>
            </w:r>
            <w:r w:rsidR="00B556A3" w:rsidRPr="00641860">
              <w:t xml:space="preserve"> </w:t>
            </w:r>
            <w:r w:rsidRPr="00641860">
              <w:t>Law</w:t>
            </w:r>
            <w:r w:rsidR="00B556A3" w:rsidRPr="00641860">
              <w:t xml:space="preserve"> </w:t>
            </w:r>
            <w:r w:rsidRPr="00641860">
              <w:t>Fund</w:t>
            </w:r>
          </w:p>
        </w:tc>
        <w:tc>
          <w:tcPr>
            <w:tcW w:w="1724" w:type="dxa"/>
          </w:tcPr>
          <w:p w14:paraId="486F45D0" w14:textId="2E2A26EC" w:rsidR="003C1B11" w:rsidRPr="00641860" w:rsidRDefault="003C1B11" w:rsidP="00FC3054">
            <w:pPr>
              <w:pStyle w:val="TableColHeadRight"/>
            </w:pPr>
            <w:r w:rsidRPr="00641860">
              <w:t>Domestic</w:t>
            </w:r>
            <w:r w:rsidR="00B556A3" w:rsidRPr="00641860">
              <w:t xml:space="preserve"> </w:t>
            </w:r>
            <w:r w:rsidRPr="00641860">
              <w:t>Builders</w:t>
            </w:r>
            <w:r w:rsidR="00B556A3" w:rsidRPr="00641860">
              <w:t xml:space="preserve"> </w:t>
            </w:r>
            <w:r w:rsidRPr="00641860">
              <w:t>Fund</w:t>
            </w:r>
          </w:p>
        </w:tc>
        <w:tc>
          <w:tcPr>
            <w:tcW w:w="1724" w:type="dxa"/>
          </w:tcPr>
          <w:p w14:paraId="6FD60670" w14:textId="004734CA" w:rsidR="003C1B11" w:rsidRPr="00641860" w:rsidRDefault="003C1B11" w:rsidP="00FC3054">
            <w:pPr>
              <w:pStyle w:val="TableColHeadRight"/>
            </w:pPr>
            <w:r w:rsidRPr="00641860">
              <w:t>Motor</w:t>
            </w:r>
            <w:r w:rsidR="00B556A3" w:rsidRPr="00641860">
              <w:t xml:space="preserve"> </w:t>
            </w:r>
            <w:r w:rsidRPr="00641860">
              <w:t>Car</w:t>
            </w:r>
            <w:r w:rsidR="00B556A3" w:rsidRPr="00641860">
              <w:t xml:space="preserve"> </w:t>
            </w:r>
            <w:r w:rsidRPr="00641860">
              <w:t>Traders’</w:t>
            </w:r>
            <w:r w:rsidR="00B556A3" w:rsidRPr="00641860">
              <w:t xml:space="preserve"> </w:t>
            </w:r>
            <w:r w:rsidRPr="00641860">
              <w:t>Guarantee</w:t>
            </w:r>
            <w:r w:rsidR="00B556A3" w:rsidRPr="00641860">
              <w:t xml:space="preserve"> </w:t>
            </w:r>
            <w:r w:rsidRPr="00641860">
              <w:t>Fund</w:t>
            </w:r>
          </w:p>
        </w:tc>
        <w:tc>
          <w:tcPr>
            <w:tcW w:w="1724" w:type="dxa"/>
          </w:tcPr>
          <w:p w14:paraId="00C1FAA4" w14:textId="62379ED9" w:rsidR="003C1B11" w:rsidRPr="00641860" w:rsidRDefault="003C1B11" w:rsidP="00FC3054">
            <w:pPr>
              <w:pStyle w:val="TableColHeadRight"/>
            </w:pPr>
            <w:r w:rsidRPr="00641860">
              <w:t>Residential</w:t>
            </w:r>
            <w:r w:rsidR="00B556A3" w:rsidRPr="00641860">
              <w:t xml:space="preserve"> </w:t>
            </w:r>
            <w:r w:rsidRPr="00641860">
              <w:t>Bonds</w:t>
            </w:r>
            <w:r w:rsidR="00B556A3" w:rsidRPr="00641860">
              <w:t xml:space="preserve"> </w:t>
            </w:r>
            <w:r w:rsidRPr="00641860">
              <w:t>Investment</w:t>
            </w:r>
            <w:r w:rsidR="00B556A3" w:rsidRPr="00641860">
              <w:t xml:space="preserve"> </w:t>
            </w:r>
            <w:r w:rsidRPr="00641860">
              <w:t>Income</w:t>
            </w:r>
            <w:r w:rsidR="00B556A3" w:rsidRPr="00641860">
              <w:t xml:space="preserve"> </w:t>
            </w:r>
            <w:r w:rsidRPr="00641860">
              <w:t>Account</w:t>
            </w:r>
          </w:p>
        </w:tc>
        <w:tc>
          <w:tcPr>
            <w:tcW w:w="1724" w:type="dxa"/>
          </w:tcPr>
          <w:p w14:paraId="2CB9141C" w14:textId="739715DA" w:rsidR="003C1B11" w:rsidRPr="00641860" w:rsidRDefault="003C1B11" w:rsidP="00FC3054">
            <w:pPr>
              <w:pStyle w:val="TableColHeadRight"/>
            </w:pPr>
            <w:r w:rsidRPr="00641860">
              <w:t>Residential</w:t>
            </w:r>
            <w:r w:rsidR="00B556A3" w:rsidRPr="00641860">
              <w:t xml:space="preserve"> </w:t>
            </w:r>
            <w:r w:rsidRPr="00641860">
              <w:t>Tenancies</w:t>
            </w:r>
            <w:r w:rsidR="00B556A3" w:rsidRPr="00641860">
              <w:t xml:space="preserve"> </w:t>
            </w:r>
            <w:r w:rsidRPr="00641860">
              <w:t>Fund</w:t>
            </w:r>
          </w:p>
        </w:tc>
        <w:tc>
          <w:tcPr>
            <w:tcW w:w="1724" w:type="dxa"/>
          </w:tcPr>
          <w:p w14:paraId="5345484B" w14:textId="5B6CA6BA" w:rsidR="003C1B11" w:rsidRPr="00641860" w:rsidRDefault="003C1B11" w:rsidP="00FC3054">
            <w:pPr>
              <w:pStyle w:val="TableColHeadRight"/>
            </w:pPr>
            <w:r w:rsidRPr="00641860">
              <w:t>Sex</w:t>
            </w:r>
            <w:r w:rsidR="00B556A3" w:rsidRPr="00641860">
              <w:t xml:space="preserve"> </w:t>
            </w:r>
            <w:r w:rsidRPr="00641860">
              <w:t>Work</w:t>
            </w:r>
            <w:r w:rsidR="00B556A3" w:rsidRPr="00641860">
              <w:t xml:space="preserve"> </w:t>
            </w:r>
            <w:r w:rsidRPr="00641860">
              <w:t>Regulation</w:t>
            </w:r>
            <w:r w:rsidR="00B556A3" w:rsidRPr="00641860">
              <w:t xml:space="preserve"> </w:t>
            </w:r>
            <w:r w:rsidRPr="00641860">
              <w:t>Fund</w:t>
            </w:r>
          </w:p>
        </w:tc>
        <w:tc>
          <w:tcPr>
            <w:tcW w:w="1724" w:type="dxa"/>
          </w:tcPr>
          <w:p w14:paraId="23F34D96" w14:textId="6542EE96" w:rsidR="003C1B11" w:rsidRPr="00641860" w:rsidRDefault="003C1B11" w:rsidP="00FC3054">
            <w:pPr>
              <w:pStyle w:val="TableColHeadRight"/>
            </w:pPr>
            <w:r w:rsidRPr="00641860">
              <w:t>Victorian</w:t>
            </w:r>
            <w:r w:rsidR="00B556A3" w:rsidRPr="00641860">
              <w:t xml:space="preserve"> </w:t>
            </w:r>
            <w:r w:rsidRPr="00641860">
              <w:t>Property</w:t>
            </w:r>
            <w:r w:rsidR="00B556A3" w:rsidRPr="00641860">
              <w:t xml:space="preserve"> </w:t>
            </w:r>
            <w:r w:rsidRPr="00641860">
              <w:t>Fund</w:t>
            </w:r>
          </w:p>
        </w:tc>
        <w:tc>
          <w:tcPr>
            <w:tcW w:w="1724" w:type="dxa"/>
          </w:tcPr>
          <w:p w14:paraId="47F437AD" w14:textId="76C959B1" w:rsidR="003C1B11" w:rsidRPr="00641860" w:rsidRDefault="003C1B11" w:rsidP="00FC3054">
            <w:pPr>
              <w:pStyle w:val="TableColHeadRight"/>
            </w:pPr>
            <w:r w:rsidRPr="00641860">
              <w:t>Trust</w:t>
            </w:r>
            <w:r w:rsidR="00B556A3" w:rsidRPr="00641860">
              <w:t xml:space="preserve"> </w:t>
            </w:r>
            <w:r w:rsidRPr="00641860">
              <w:t>Funds</w:t>
            </w:r>
            <w:r w:rsidR="00B556A3" w:rsidRPr="00641860">
              <w:t xml:space="preserve"> </w:t>
            </w:r>
            <w:r w:rsidRPr="00641860">
              <w:t>Total</w:t>
            </w:r>
          </w:p>
          <w:p w14:paraId="7F08CCEC" w14:textId="0C263037" w:rsidR="003C1B11" w:rsidRPr="00641860" w:rsidRDefault="003C1B11" w:rsidP="00FC3054">
            <w:pPr>
              <w:pStyle w:val="TableColHeadRight"/>
            </w:pPr>
            <w:r w:rsidRPr="00641860">
              <w:t>202</w:t>
            </w:r>
            <w:r w:rsidR="00641860">
              <w:t>3</w:t>
            </w:r>
            <w:r w:rsidRPr="00641860">
              <w:t>–2</w:t>
            </w:r>
            <w:r w:rsidR="00641860">
              <w:t>4</w:t>
            </w:r>
          </w:p>
        </w:tc>
      </w:tr>
      <w:tr w:rsidR="008B53D8" w:rsidRPr="00641860" w14:paraId="7B718273" w14:textId="77777777" w:rsidTr="00641860">
        <w:trPr>
          <w:trHeight w:val="60"/>
        </w:trPr>
        <w:tc>
          <w:tcPr>
            <w:tcW w:w="21263" w:type="dxa"/>
            <w:gridSpan w:val="9"/>
            <w:shd w:val="clear" w:color="auto" w:fill="BCCAE5"/>
          </w:tcPr>
          <w:p w14:paraId="1A459BAA" w14:textId="4A240541" w:rsidR="008B53D8" w:rsidRPr="00641860" w:rsidRDefault="008B53D8" w:rsidP="008B53D8">
            <w:pPr>
              <w:pStyle w:val="TableTextBold"/>
            </w:pPr>
            <w:r w:rsidRPr="00641860">
              <w:t>CAV</w:t>
            </w:r>
            <w:r w:rsidR="00B556A3" w:rsidRPr="00641860">
              <w:t xml:space="preserve"> </w:t>
            </w:r>
            <w:r w:rsidRPr="00641860">
              <w:t>Trust</w:t>
            </w:r>
            <w:r w:rsidR="00B556A3" w:rsidRPr="00641860">
              <w:t xml:space="preserve"> </w:t>
            </w:r>
            <w:r w:rsidRPr="00641860">
              <w:t>Funds</w:t>
            </w:r>
            <w:r w:rsidR="00B556A3" w:rsidRPr="00641860">
              <w:t xml:space="preserve"> </w:t>
            </w:r>
            <w:r w:rsidRPr="00641860">
              <w:t>Revenue</w:t>
            </w:r>
          </w:p>
        </w:tc>
      </w:tr>
      <w:tr w:rsidR="00641860" w:rsidRPr="00641860" w14:paraId="2CBEF4C1" w14:textId="77777777" w:rsidTr="00641860">
        <w:trPr>
          <w:trHeight w:val="60"/>
        </w:trPr>
        <w:tc>
          <w:tcPr>
            <w:tcW w:w="7471" w:type="dxa"/>
          </w:tcPr>
          <w:p w14:paraId="4CA670BC" w14:textId="524D7AC9" w:rsidR="00641860" w:rsidRPr="00641860" w:rsidRDefault="00641860" w:rsidP="00641860">
            <w:pPr>
              <w:pStyle w:val="TableText"/>
            </w:pPr>
            <w:r w:rsidRPr="00137040">
              <w:t>Revenue recognition, Estate Agent and Conveyancer trust accounts</w:t>
            </w:r>
          </w:p>
        </w:tc>
        <w:tc>
          <w:tcPr>
            <w:tcW w:w="1724" w:type="dxa"/>
          </w:tcPr>
          <w:p w14:paraId="283FB8FC" w14:textId="77777777" w:rsidR="00641860" w:rsidRPr="00641860" w:rsidRDefault="00641860" w:rsidP="00641860">
            <w:pPr>
              <w:pStyle w:val="TableTextRight"/>
            </w:pPr>
          </w:p>
        </w:tc>
        <w:tc>
          <w:tcPr>
            <w:tcW w:w="1724" w:type="dxa"/>
          </w:tcPr>
          <w:p w14:paraId="2FA86979" w14:textId="77777777" w:rsidR="00641860" w:rsidRPr="00641860" w:rsidRDefault="00641860" w:rsidP="00641860">
            <w:pPr>
              <w:pStyle w:val="TableTextRight"/>
              <w:rPr>
                <w:rFonts w:ascii="VIC-SemiBold" w:hAnsi="VIC-SemiBold" w:cstheme="minorBidi"/>
              </w:rPr>
            </w:pPr>
          </w:p>
        </w:tc>
        <w:tc>
          <w:tcPr>
            <w:tcW w:w="1724" w:type="dxa"/>
          </w:tcPr>
          <w:p w14:paraId="6AE31D32" w14:textId="77777777" w:rsidR="00641860" w:rsidRPr="00641860" w:rsidRDefault="00641860" w:rsidP="00641860">
            <w:pPr>
              <w:pStyle w:val="TableTextRight"/>
              <w:rPr>
                <w:rFonts w:ascii="VIC-SemiBold" w:hAnsi="VIC-SemiBold" w:cstheme="minorBidi"/>
              </w:rPr>
            </w:pPr>
          </w:p>
        </w:tc>
        <w:tc>
          <w:tcPr>
            <w:tcW w:w="1724" w:type="dxa"/>
          </w:tcPr>
          <w:p w14:paraId="25E409FE" w14:textId="77777777" w:rsidR="00641860" w:rsidRPr="00641860" w:rsidRDefault="00641860" w:rsidP="00641860">
            <w:pPr>
              <w:pStyle w:val="TableTextRight"/>
              <w:rPr>
                <w:rFonts w:ascii="VIC-SemiBold" w:hAnsi="VIC-SemiBold" w:cstheme="minorBidi"/>
              </w:rPr>
            </w:pPr>
          </w:p>
        </w:tc>
        <w:tc>
          <w:tcPr>
            <w:tcW w:w="1724" w:type="dxa"/>
          </w:tcPr>
          <w:p w14:paraId="38600E4B" w14:textId="77777777" w:rsidR="00641860" w:rsidRPr="00641860" w:rsidRDefault="00641860" w:rsidP="00641860">
            <w:pPr>
              <w:pStyle w:val="TableTextRight"/>
              <w:rPr>
                <w:rFonts w:ascii="VIC-SemiBold" w:hAnsi="VIC-SemiBold" w:cstheme="minorBidi"/>
              </w:rPr>
            </w:pPr>
          </w:p>
        </w:tc>
        <w:tc>
          <w:tcPr>
            <w:tcW w:w="1724" w:type="dxa"/>
          </w:tcPr>
          <w:p w14:paraId="581135DA" w14:textId="77777777" w:rsidR="00641860" w:rsidRPr="00641860" w:rsidRDefault="00641860" w:rsidP="00641860">
            <w:pPr>
              <w:pStyle w:val="TableTextRight"/>
              <w:rPr>
                <w:rFonts w:ascii="VIC-SemiBold" w:hAnsi="VIC-SemiBold" w:cstheme="minorBidi"/>
              </w:rPr>
            </w:pPr>
          </w:p>
        </w:tc>
        <w:tc>
          <w:tcPr>
            <w:tcW w:w="1724" w:type="dxa"/>
          </w:tcPr>
          <w:p w14:paraId="274BC789" w14:textId="34B9D1FD" w:rsidR="00641860" w:rsidRPr="00641860" w:rsidRDefault="00641860" w:rsidP="00641860">
            <w:pPr>
              <w:pStyle w:val="TableTextRight"/>
            </w:pPr>
            <w:r w:rsidRPr="00137040">
              <w:t>118,143,647</w:t>
            </w:r>
          </w:p>
        </w:tc>
        <w:tc>
          <w:tcPr>
            <w:tcW w:w="1724" w:type="dxa"/>
          </w:tcPr>
          <w:p w14:paraId="2132965B" w14:textId="0820A58D" w:rsidR="00641860" w:rsidRPr="00641860" w:rsidRDefault="00641860" w:rsidP="00641860">
            <w:pPr>
              <w:pStyle w:val="TableTextRight"/>
            </w:pPr>
            <w:r w:rsidRPr="00137040">
              <w:t>118,143,647</w:t>
            </w:r>
          </w:p>
        </w:tc>
      </w:tr>
      <w:tr w:rsidR="00641860" w:rsidRPr="00641860" w14:paraId="09EAAF78" w14:textId="77777777" w:rsidTr="00641860">
        <w:trPr>
          <w:trHeight w:val="60"/>
        </w:trPr>
        <w:tc>
          <w:tcPr>
            <w:tcW w:w="7471" w:type="dxa"/>
          </w:tcPr>
          <w:p w14:paraId="34C065D5" w14:textId="116DA070" w:rsidR="00641860" w:rsidRPr="00641860" w:rsidRDefault="00641860" w:rsidP="00641860">
            <w:pPr>
              <w:pStyle w:val="TableText"/>
            </w:pPr>
            <w:r w:rsidRPr="00137040">
              <w:t>Revenue recognition, Residential Tenancy Bonds</w:t>
            </w:r>
          </w:p>
        </w:tc>
        <w:tc>
          <w:tcPr>
            <w:tcW w:w="1724" w:type="dxa"/>
          </w:tcPr>
          <w:p w14:paraId="540F6E6D" w14:textId="77777777" w:rsidR="00641860" w:rsidRPr="00641860" w:rsidRDefault="00641860" w:rsidP="00641860">
            <w:pPr>
              <w:pStyle w:val="TableTextRight"/>
              <w:rPr>
                <w:rFonts w:ascii="VIC-SemiBold" w:hAnsi="VIC-SemiBold" w:cstheme="minorBidi"/>
              </w:rPr>
            </w:pPr>
          </w:p>
        </w:tc>
        <w:tc>
          <w:tcPr>
            <w:tcW w:w="1724" w:type="dxa"/>
          </w:tcPr>
          <w:p w14:paraId="6F0C2177" w14:textId="77777777" w:rsidR="00641860" w:rsidRPr="00641860" w:rsidRDefault="00641860" w:rsidP="00641860">
            <w:pPr>
              <w:pStyle w:val="TableTextRight"/>
              <w:rPr>
                <w:rFonts w:ascii="VIC-SemiBold" w:hAnsi="VIC-SemiBold" w:cstheme="minorBidi"/>
              </w:rPr>
            </w:pPr>
          </w:p>
        </w:tc>
        <w:tc>
          <w:tcPr>
            <w:tcW w:w="1724" w:type="dxa"/>
          </w:tcPr>
          <w:p w14:paraId="3F6CB237" w14:textId="77777777" w:rsidR="00641860" w:rsidRPr="00641860" w:rsidRDefault="00641860" w:rsidP="00641860">
            <w:pPr>
              <w:pStyle w:val="TableTextRight"/>
              <w:rPr>
                <w:rFonts w:ascii="VIC-SemiBold" w:hAnsi="VIC-SemiBold" w:cstheme="minorBidi"/>
              </w:rPr>
            </w:pPr>
          </w:p>
        </w:tc>
        <w:tc>
          <w:tcPr>
            <w:tcW w:w="1724" w:type="dxa"/>
          </w:tcPr>
          <w:p w14:paraId="47FDB5AE" w14:textId="52D6EF44" w:rsidR="00641860" w:rsidRPr="00641860" w:rsidRDefault="00641860" w:rsidP="00641860">
            <w:pPr>
              <w:pStyle w:val="TableTextRight"/>
            </w:pPr>
            <w:r w:rsidRPr="00137040">
              <w:t>35,125,614</w:t>
            </w:r>
          </w:p>
        </w:tc>
        <w:tc>
          <w:tcPr>
            <w:tcW w:w="1724" w:type="dxa"/>
          </w:tcPr>
          <w:p w14:paraId="6B2FBBE9" w14:textId="77777777" w:rsidR="00641860" w:rsidRPr="00641860" w:rsidRDefault="00641860" w:rsidP="00641860">
            <w:pPr>
              <w:pStyle w:val="TableTextRight"/>
              <w:rPr>
                <w:rFonts w:ascii="VIC-SemiBold" w:hAnsi="VIC-SemiBold" w:cstheme="minorBidi"/>
              </w:rPr>
            </w:pPr>
          </w:p>
        </w:tc>
        <w:tc>
          <w:tcPr>
            <w:tcW w:w="1724" w:type="dxa"/>
          </w:tcPr>
          <w:p w14:paraId="2148C279" w14:textId="77777777" w:rsidR="00641860" w:rsidRPr="00641860" w:rsidRDefault="00641860" w:rsidP="00641860">
            <w:pPr>
              <w:pStyle w:val="TableTextRight"/>
              <w:rPr>
                <w:rFonts w:ascii="VIC-SemiBold" w:hAnsi="VIC-SemiBold" w:cstheme="minorBidi"/>
              </w:rPr>
            </w:pPr>
          </w:p>
        </w:tc>
        <w:tc>
          <w:tcPr>
            <w:tcW w:w="1724" w:type="dxa"/>
          </w:tcPr>
          <w:p w14:paraId="7F5953ED" w14:textId="77777777" w:rsidR="00641860" w:rsidRPr="00641860" w:rsidRDefault="00641860" w:rsidP="00641860">
            <w:pPr>
              <w:pStyle w:val="TableTextRight"/>
              <w:rPr>
                <w:rFonts w:ascii="VIC-SemiBold" w:hAnsi="VIC-SemiBold" w:cstheme="minorBidi"/>
              </w:rPr>
            </w:pPr>
          </w:p>
        </w:tc>
        <w:tc>
          <w:tcPr>
            <w:tcW w:w="1724" w:type="dxa"/>
          </w:tcPr>
          <w:p w14:paraId="20F59F3D" w14:textId="69A3BE7C" w:rsidR="00641860" w:rsidRPr="00641860" w:rsidRDefault="00641860" w:rsidP="00641860">
            <w:pPr>
              <w:pStyle w:val="TableTextRight"/>
            </w:pPr>
            <w:r w:rsidRPr="00137040">
              <w:t>35,125,614</w:t>
            </w:r>
          </w:p>
        </w:tc>
      </w:tr>
      <w:tr w:rsidR="00641860" w:rsidRPr="00641860" w14:paraId="4E965B4E" w14:textId="77777777" w:rsidTr="00641860">
        <w:trPr>
          <w:trHeight w:val="60"/>
        </w:trPr>
        <w:tc>
          <w:tcPr>
            <w:tcW w:w="7471" w:type="dxa"/>
          </w:tcPr>
          <w:p w14:paraId="0B5A4CF0" w14:textId="37849179" w:rsidR="00641860" w:rsidRPr="00641860" w:rsidRDefault="00641860" w:rsidP="00641860">
            <w:pPr>
              <w:pStyle w:val="TableText"/>
            </w:pPr>
            <w:r w:rsidRPr="00137040">
              <w:t>Fees income</w:t>
            </w:r>
          </w:p>
        </w:tc>
        <w:tc>
          <w:tcPr>
            <w:tcW w:w="1724" w:type="dxa"/>
          </w:tcPr>
          <w:p w14:paraId="22464B76" w14:textId="73CDA0C7" w:rsidR="00641860" w:rsidRPr="00641860" w:rsidRDefault="00641860" w:rsidP="00641860">
            <w:pPr>
              <w:pStyle w:val="TableTextRight"/>
            </w:pPr>
            <w:r w:rsidRPr="00137040">
              <w:t>30,308</w:t>
            </w:r>
          </w:p>
        </w:tc>
        <w:tc>
          <w:tcPr>
            <w:tcW w:w="1724" w:type="dxa"/>
          </w:tcPr>
          <w:p w14:paraId="7DC9B126" w14:textId="6CB26ED1" w:rsidR="00641860" w:rsidRPr="00641860" w:rsidRDefault="00641860" w:rsidP="00641860">
            <w:pPr>
              <w:pStyle w:val="TableTextRight"/>
            </w:pPr>
            <w:r w:rsidRPr="00137040">
              <w:t>663,417</w:t>
            </w:r>
          </w:p>
        </w:tc>
        <w:tc>
          <w:tcPr>
            <w:tcW w:w="1724" w:type="dxa"/>
          </w:tcPr>
          <w:p w14:paraId="3D9E035A" w14:textId="32B196CE" w:rsidR="00641860" w:rsidRPr="00641860" w:rsidRDefault="00641860" w:rsidP="00641860">
            <w:pPr>
              <w:pStyle w:val="TableTextRight"/>
            </w:pPr>
            <w:r w:rsidRPr="00137040">
              <w:t>4,136,094</w:t>
            </w:r>
          </w:p>
        </w:tc>
        <w:tc>
          <w:tcPr>
            <w:tcW w:w="1724" w:type="dxa"/>
          </w:tcPr>
          <w:p w14:paraId="71F379F8" w14:textId="77777777" w:rsidR="00641860" w:rsidRPr="00641860" w:rsidRDefault="00641860" w:rsidP="00641860">
            <w:pPr>
              <w:pStyle w:val="TableTextRight"/>
            </w:pPr>
          </w:p>
        </w:tc>
        <w:tc>
          <w:tcPr>
            <w:tcW w:w="1724" w:type="dxa"/>
          </w:tcPr>
          <w:p w14:paraId="249B1CFA" w14:textId="478B9ECA" w:rsidR="00641860" w:rsidRPr="00641860" w:rsidRDefault="00641860" w:rsidP="00641860">
            <w:pPr>
              <w:pStyle w:val="TableTextRight"/>
            </w:pPr>
            <w:r w:rsidRPr="00137040">
              <w:t>2,396,418</w:t>
            </w:r>
          </w:p>
        </w:tc>
        <w:tc>
          <w:tcPr>
            <w:tcW w:w="1724" w:type="dxa"/>
          </w:tcPr>
          <w:p w14:paraId="6DB35C4A" w14:textId="053C6F40" w:rsidR="00641860" w:rsidRPr="00641860" w:rsidRDefault="00641860" w:rsidP="00641860">
            <w:pPr>
              <w:pStyle w:val="TableTextRight"/>
            </w:pPr>
            <w:r w:rsidRPr="00137040">
              <w:t>(12,356)</w:t>
            </w:r>
          </w:p>
        </w:tc>
        <w:tc>
          <w:tcPr>
            <w:tcW w:w="1724" w:type="dxa"/>
          </w:tcPr>
          <w:p w14:paraId="14E868F0" w14:textId="4C675CF5" w:rsidR="00641860" w:rsidRPr="00641860" w:rsidRDefault="00641860" w:rsidP="00641860">
            <w:pPr>
              <w:pStyle w:val="TableTextRight"/>
            </w:pPr>
            <w:r w:rsidRPr="00137040">
              <w:t>8,488,369</w:t>
            </w:r>
          </w:p>
        </w:tc>
        <w:tc>
          <w:tcPr>
            <w:tcW w:w="1724" w:type="dxa"/>
          </w:tcPr>
          <w:p w14:paraId="330E81CD" w14:textId="490BEBD8" w:rsidR="00641860" w:rsidRPr="00641860" w:rsidRDefault="00641860" w:rsidP="00641860">
            <w:pPr>
              <w:pStyle w:val="TableTextRight"/>
            </w:pPr>
            <w:r w:rsidRPr="00137040">
              <w:t>15,702,250</w:t>
            </w:r>
          </w:p>
        </w:tc>
      </w:tr>
      <w:tr w:rsidR="00641860" w:rsidRPr="00641860" w14:paraId="4F92E561" w14:textId="77777777" w:rsidTr="00641860">
        <w:trPr>
          <w:trHeight w:val="60"/>
        </w:trPr>
        <w:tc>
          <w:tcPr>
            <w:tcW w:w="7471" w:type="dxa"/>
          </w:tcPr>
          <w:p w14:paraId="7939A443" w14:textId="2F4B655E" w:rsidR="00641860" w:rsidRPr="00641860" w:rsidRDefault="00641860" w:rsidP="00641860">
            <w:pPr>
              <w:pStyle w:val="TableText"/>
            </w:pPr>
            <w:r w:rsidRPr="00137040">
              <w:t>Interest/Distribution Revenue</w:t>
            </w:r>
          </w:p>
        </w:tc>
        <w:tc>
          <w:tcPr>
            <w:tcW w:w="1724" w:type="dxa"/>
          </w:tcPr>
          <w:p w14:paraId="335F91E1" w14:textId="1A9A9730" w:rsidR="00641860" w:rsidRPr="00641860" w:rsidRDefault="00641860" w:rsidP="00641860">
            <w:pPr>
              <w:pStyle w:val="TableTextRight"/>
            </w:pPr>
            <w:r w:rsidRPr="00137040">
              <w:t>73,347</w:t>
            </w:r>
          </w:p>
        </w:tc>
        <w:tc>
          <w:tcPr>
            <w:tcW w:w="1724" w:type="dxa"/>
          </w:tcPr>
          <w:p w14:paraId="746C4205" w14:textId="150BAF70" w:rsidR="00641860" w:rsidRPr="00641860" w:rsidRDefault="00641860" w:rsidP="00641860">
            <w:pPr>
              <w:pStyle w:val="TableTextRight"/>
            </w:pPr>
            <w:r w:rsidRPr="00137040">
              <w:t>1,116,495</w:t>
            </w:r>
          </w:p>
        </w:tc>
        <w:tc>
          <w:tcPr>
            <w:tcW w:w="1724" w:type="dxa"/>
          </w:tcPr>
          <w:p w14:paraId="782DBF7C" w14:textId="0F81AE0D" w:rsidR="00641860" w:rsidRPr="00641860" w:rsidRDefault="00641860" w:rsidP="00641860">
            <w:pPr>
              <w:pStyle w:val="TableTextRight"/>
            </w:pPr>
            <w:r w:rsidRPr="00137040">
              <w:t>451,868</w:t>
            </w:r>
          </w:p>
        </w:tc>
        <w:tc>
          <w:tcPr>
            <w:tcW w:w="1724" w:type="dxa"/>
          </w:tcPr>
          <w:p w14:paraId="0E17FA0D" w14:textId="576C6C8B" w:rsidR="00641860" w:rsidRPr="00641860" w:rsidRDefault="00641860" w:rsidP="00641860">
            <w:pPr>
              <w:pStyle w:val="TableTextRight"/>
            </w:pPr>
            <w:r w:rsidRPr="00137040">
              <w:t>5,817,817</w:t>
            </w:r>
          </w:p>
        </w:tc>
        <w:tc>
          <w:tcPr>
            <w:tcW w:w="1724" w:type="dxa"/>
          </w:tcPr>
          <w:p w14:paraId="48E07DE5" w14:textId="3D65101E" w:rsidR="00641860" w:rsidRPr="00641860" w:rsidRDefault="00641860" w:rsidP="00641860">
            <w:pPr>
              <w:pStyle w:val="TableTextRight"/>
            </w:pPr>
            <w:r w:rsidRPr="00137040">
              <w:t>105,105</w:t>
            </w:r>
          </w:p>
        </w:tc>
        <w:tc>
          <w:tcPr>
            <w:tcW w:w="1724" w:type="dxa"/>
          </w:tcPr>
          <w:p w14:paraId="674A845E" w14:textId="69281FBE" w:rsidR="00641860" w:rsidRPr="00641860" w:rsidRDefault="00641860" w:rsidP="00641860">
            <w:pPr>
              <w:pStyle w:val="TableTextRight"/>
            </w:pPr>
          </w:p>
        </w:tc>
        <w:tc>
          <w:tcPr>
            <w:tcW w:w="1724" w:type="dxa"/>
          </w:tcPr>
          <w:p w14:paraId="30C5039C" w14:textId="71716F63" w:rsidR="00641860" w:rsidRPr="00641860" w:rsidRDefault="00641860" w:rsidP="00641860">
            <w:pPr>
              <w:pStyle w:val="TableTextRight"/>
            </w:pPr>
            <w:r w:rsidRPr="00137040">
              <w:t>6,466,475</w:t>
            </w:r>
          </w:p>
        </w:tc>
        <w:tc>
          <w:tcPr>
            <w:tcW w:w="1724" w:type="dxa"/>
          </w:tcPr>
          <w:p w14:paraId="11283C02" w14:textId="353CA7B8" w:rsidR="00641860" w:rsidRPr="00641860" w:rsidRDefault="00641860" w:rsidP="00641860">
            <w:pPr>
              <w:pStyle w:val="TableTextRight"/>
            </w:pPr>
            <w:r w:rsidRPr="00137040">
              <w:t>14,031,107</w:t>
            </w:r>
          </w:p>
        </w:tc>
      </w:tr>
      <w:tr w:rsidR="00641860" w:rsidRPr="00641860" w14:paraId="1B4A5876" w14:textId="77777777" w:rsidTr="00641860">
        <w:trPr>
          <w:trHeight w:val="60"/>
        </w:trPr>
        <w:tc>
          <w:tcPr>
            <w:tcW w:w="7471" w:type="dxa"/>
          </w:tcPr>
          <w:p w14:paraId="7DB34ECF" w14:textId="264F802B" w:rsidR="00641860" w:rsidRPr="00641860" w:rsidRDefault="00641860" w:rsidP="00641860">
            <w:pPr>
              <w:pStyle w:val="TableText"/>
            </w:pPr>
            <w:r w:rsidRPr="00137040">
              <w:t>Investments – market value adjustments</w:t>
            </w:r>
          </w:p>
        </w:tc>
        <w:tc>
          <w:tcPr>
            <w:tcW w:w="1724" w:type="dxa"/>
          </w:tcPr>
          <w:p w14:paraId="62E3648A" w14:textId="77777777" w:rsidR="00641860" w:rsidRPr="00641860" w:rsidRDefault="00641860" w:rsidP="00641860">
            <w:pPr>
              <w:pStyle w:val="TableTextRight"/>
            </w:pPr>
          </w:p>
        </w:tc>
        <w:tc>
          <w:tcPr>
            <w:tcW w:w="1724" w:type="dxa"/>
          </w:tcPr>
          <w:p w14:paraId="48950063" w14:textId="13D8036C" w:rsidR="00641860" w:rsidRPr="00641860" w:rsidRDefault="00641860" w:rsidP="00641860">
            <w:pPr>
              <w:pStyle w:val="TableTextRight"/>
            </w:pPr>
            <w:r w:rsidRPr="00137040">
              <w:t>1,767,453</w:t>
            </w:r>
          </w:p>
        </w:tc>
        <w:tc>
          <w:tcPr>
            <w:tcW w:w="1724" w:type="dxa"/>
          </w:tcPr>
          <w:p w14:paraId="173CB248" w14:textId="77777777" w:rsidR="00641860" w:rsidRPr="00641860" w:rsidRDefault="00641860" w:rsidP="00641860">
            <w:pPr>
              <w:pStyle w:val="TableTextRight"/>
            </w:pPr>
          </w:p>
        </w:tc>
        <w:tc>
          <w:tcPr>
            <w:tcW w:w="1724" w:type="dxa"/>
          </w:tcPr>
          <w:p w14:paraId="0E901F3E" w14:textId="0B39FED3" w:rsidR="00641860" w:rsidRPr="00641860" w:rsidRDefault="00641860" w:rsidP="00641860">
            <w:pPr>
              <w:pStyle w:val="TableTextRight"/>
            </w:pPr>
            <w:r w:rsidRPr="00137040">
              <w:t>25,034,545</w:t>
            </w:r>
          </w:p>
        </w:tc>
        <w:tc>
          <w:tcPr>
            <w:tcW w:w="1724" w:type="dxa"/>
          </w:tcPr>
          <w:p w14:paraId="4A0B5202" w14:textId="339F220E" w:rsidR="00641860" w:rsidRPr="00641860" w:rsidRDefault="00641860" w:rsidP="00641860">
            <w:pPr>
              <w:pStyle w:val="TableTextRight"/>
            </w:pPr>
            <w:r w:rsidRPr="00137040">
              <w:t>1,834,897</w:t>
            </w:r>
          </w:p>
        </w:tc>
        <w:tc>
          <w:tcPr>
            <w:tcW w:w="1724" w:type="dxa"/>
          </w:tcPr>
          <w:p w14:paraId="2F55F151" w14:textId="7AEA4222" w:rsidR="00641860" w:rsidRPr="00641860" w:rsidRDefault="00641860" w:rsidP="00641860">
            <w:pPr>
              <w:pStyle w:val="TableTextRight"/>
            </w:pPr>
            <w:r w:rsidRPr="00137040">
              <w:t>1,203</w:t>
            </w:r>
          </w:p>
        </w:tc>
        <w:tc>
          <w:tcPr>
            <w:tcW w:w="1724" w:type="dxa"/>
          </w:tcPr>
          <w:p w14:paraId="0F177B0F" w14:textId="50CD5BD9" w:rsidR="00641860" w:rsidRPr="00641860" w:rsidRDefault="00641860" w:rsidP="00641860">
            <w:pPr>
              <w:pStyle w:val="TableTextRight"/>
            </w:pPr>
            <w:r w:rsidRPr="00137040">
              <w:t>10,344,123</w:t>
            </w:r>
          </w:p>
        </w:tc>
        <w:tc>
          <w:tcPr>
            <w:tcW w:w="1724" w:type="dxa"/>
          </w:tcPr>
          <w:p w14:paraId="12D89EA2" w14:textId="2CC425D5" w:rsidR="00641860" w:rsidRPr="00641860" w:rsidRDefault="00641860" w:rsidP="00641860">
            <w:pPr>
              <w:pStyle w:val="TableTextRight"/>
            </w:pPr>
            <w:r w:rsidRPr="00137040">
              <w:t>38,982,222</w:t>
            </w:r>
          </w:p>
        </w:tc>
      </w:tr>
      <w:tr w:rsidR="00641860" w:rsidRPr="00641860" w14:paraId="35F33A3B" w14:textId="77777777" w:rsidTr="00641860">
        <w:trPr>
          <w:trHeight w:val="60"/>
        </w:trPr>
        <w:tc>
          <w:tcPr>
            <w:tcW w:w="7471" w:type="dxa"/>
          </w:tcPr>
          <w:p w14:paraId="51768D1C" w14:textId="6EA496FB" w:rsidR="00641860" w:rsidRPr="00641860" w:rsidRDefault="00641860" w:rsidP="00641860">
            <w:pPr>
              <w:pStyle w:val="TableText"/>
            </w:pPr>
            <w:r w:rsidRPr="00137040">
              <w:t>Transferred from the Victorian Building Authority</w:t>
            </w:r>
            <w:r w:rsidR="00C4204E" w:rsidRPr="00C4204E">
              <w:rPr>
                <w:rStyle w:val="FootnoteReference"/>
              </w:rPr>
              <w:footnoteReference w:id="17"/>
            </w:r>
          </w:p>
        </w:tc>
        <w:tc>
          <w:tcPr>
            <w:tcW w:w="1724" w:type="dxa"/>
          </w:tcPr>
          <w:p w14:paraId="4C1040F7" w14:textId="77777777" w:rsidR="00641860" w:rsidRPr="00641860" w:rsidRDefault="00641860" w:rsidP="00641860">
            <w:pPr>
              <w:pStyle w:val="TableTextRight"/>
            </w:pPr>
          </w:p>
        </w:tc>
        <w:tc>
          <w:tcPr>
            <w:tcW w:w="1724" w:type="dxa"/>
          </w:tcPr>
          <w:p w14:paraId="26991CBF" w14:textId="22E6AB1A" w:rsidR="00641860" w:rsidRPr="00641860" w:rsidRDefault="00641860" w:rsidP="00641860">
            <w:pPr>
              <w:pStyle w:val="TableTextRight"/>
            </w:pPr>
            <w:r w:rsidRPr="00137040">
              <w:t>20,767,892</w:t>
            </w:r>
          </w:p>
        </w:tc>
        <w:tc>
          <w:tcPr>
            <w:tcW w:w="1724" w:type="dxa"/>
          </w:tcPr>
          <w:p w14:paraId="5AF09D22" w14:textId="77777777" w:rsidR="00641860" w:rsidRPr="00641860" w:rsidRDefault="00641860" w:rsidP="00641860">
            <w:pPr>
              <w:pStyle w:val="TableTextRight"/>
              <w:rPr>
                <w:rFonts w:ascii="VIC-SemiBold" w:hAnsi="VIC-SemiBold" w:cstheme="minorBidi"/>
              </w:rPr>
            </w:pPr>
          </w:p>
        </w:tc>
        <w:tc>
          <w:tcPr>
            <w:tcW w:w="1724" w:type="dxa"/>
          </w:tcPr>
          <w:p w14:paraId="5BC901B5" w14:textId="77777777" w:rsidR="00641860" w:rsidRPr="00641860" w:rsidRDefault="00641860" w:rsidP="00641860">
            <w:pPr>
              <w:pStyle w:val="TableTextRight"/>
              <w:rPr>
                <w:rFonts w:ascii="VIC-SemiBold" w:hAnsi="VIC-SemiBold" w:cstheme="minorBidi"/>
              </w:rPr>
            </w:pPr>
          </w:p>
        </w:tc>
        <w:tc>
          <w:tcPr>
            <w:tcW w:w="1724" w:type="dxa"/>
          </w:tcPr>
          <w:p w14:paraId="49536D39" w14:textId="77777777" w:rsidR="00641860" w:rsidRPr="00641860" w:rsidRDefault="00641860" w:rsidP="00641860">
            <w:pPr>
              <w:pStyle w:val="TableTextRight"/>
              <w:rPr>
                <w:rFonts w:ascii="VIC-SemiBold" w:hAnsi="VIC-SemiBold" w:cstheme="minorBidi"/>
              </w:rPr>
            </w:pPr>
          </w:p>
        </w:tc>
        <w:tc>
          <w:tcPr>
            <w:tcW w:w="1724" w:type="dxa"/>
          </w:tcPr>
          <w:p w14:paraId="2091EFD6" w14:textId="77777777" w:rsidR="00641860" w:rsidRPr="00641860" w:rsidRDefault="00641860" w:rsidP="00641860">
            <w:pPr>
              <w:pStyle w:val="TableTextRight"/>
            </w:pPr>
          </w:p>
        </w:tc>
        <w:tc>
          <w:tcPr>
            <w:tcW w:w="1724" w:type="dxa"/>
          </w:tcPr>
          <w:p w14:paraId="19AAAD33" w14:textId="77777777" w:rsidR="00641860" w:rsidRPr="00641860" w:rsidRDefault="00641860" w:rsidP="00641860">
            <w:pPr>
              <w:pStyle w:val="TableTextRight"/>
            </w:pPr>
          </w:p>
        </w:tc>
        <w:tc>
          <w:tcPr>
            <w:tcW w:w="1724" w:type="dxa"/>
          </w:tcPr>
          <w:p w14:paraId="43C349CE" w14:textId="31BD8C67" w:rsidR="00641860" w:rsidRPr="00641860" w:rsidRDefault="00641860" w:rsidP="00641860">
            <w:pPr>
              <w:pStyle w:val="TableTextRight"/>
            </w:pPr>
            <w:r w:rsidRPr="00137040">
              <w:t>20,767,892</w:t>
            </w:r>
          </w:p>
        </w:tc>
      </w:tr>
      <w:tr w:rsidR="00641860" w:rsidRPr="00641860" w14:paraId="1F70CF83" w14:textId="77777777" w:rsidTr="00641860">
        <w:trPr>
          <w:trHeight w:val="60"/>
        </w:trPr>
        <w:tc>
          <w:tcPr>
            <w:tcW w:w="7471" w:type="dxa"/>
          </w:tcPr>
          <w:p w14:paraId="4F0DAD78" w14:textId="19C3E241" w:rsidR="00641860" w:rsidRPr="00641860" w:rsidRDefault="00641860" w:rsidP="00641860">
            <w:pPr>
              <w:pStyle w:val="TableText"/>
            </w:pPr>
            <w:r w:rsidRPr="00137040">
              <w:t>Other revenue</w:t>
            </w:r>
          </w:p>
        </w:tc>
        <w:tc>
          <w:tcPr>
            <w:tcW w:w="1724" w:type="dxa"/>
          </w:tcPr>
          <w:p w14:paraId="5AC4ABBC" w14:textId="0ACB97FB" w:rsidR="00641860" w:rsidRPr="00641860" w:rsidRDefault="00641860" w:rsidP="00641860">
            <w:pPr>
              <w:pStyle w:val="TableTextRight"/>
            </w:pPr>
          </w:p>
        </w:tc>
        <w:tc>
          <w:tcPr>
            <w:tcW w:w="1724" w:type="dxa"/>
          </w:tcPr>
          <w:p w14:paraId="45FD2EA7" w14:textId="65CCE220" w:rsidR="00641860" w:rsidRPr="00641860" w:rsidRDefault="00641860" w:rsidP="00641860">
            <w:pPr>
              <w:pStyle w:val="TableTextRight"/>
            </w:pPr>
            <w:r w:rsidRPr="00137040">
              <w:t>20,185</w:t>
            </w:r>
          </w:p>
        </w:tc>
        <w:tc>
          <w:tcPr>
            <w:tcW w:w="1724" w:type="dxa"/>
          </w:tcPr>
          <w:p w14:paraId="1CF390F7" w14:textId="5FE7D0F1" w:rsidR="00641860" w:rsidRPr="00641860" w:rsidRDefault="00641860" w:rsidP="00641860">
            <w:pPr>
              <w:pStyle w:val="TableTextRight"/>
            </w:pPr>
            <w:r w:rsidRPr="00137040">
              <w:t>900</w:t>
            </w:r>
          </w:p>
        </w:tc>
        <w:tc>
          <w:tcPr>
            <w:tcW w:w="1724" w:type="dxa"/>
          </w:tcPr>
          <w:p w14:paraId="470D1478" w14:textId="639A75B2" w:rsidR="00641860" w:rsidRPr="00641860" w:rsidRDefault="00641860" w:rsidP="00641860">
            <w:pPr>
              <w:pStyle w:val="TableTextRight"/>
            </w:pPr>
            <w:r w:rsidRPr="00137040">
              <w:t>175,151</w:t>
            </w:r>
          </w:p>
        </w:tc>
        <w:tc>
          <w:tcPr>
            <w:tcW w:w="1724" w:type="dxa"/>
          </w:tcPr>
          <w:p w14:paraId="5BD71709" w14:textId="5DE15337" w:rsidR="00641860" w:rsidRPr="00641860" w:rsidRDefault="00641860" w:rsidP="00641860">
            <w:pPr>
              <w:pStyle w:val="TableTextRight"/>
            </w:pPr>
            <w:r w:rsidRPr="00137040">
              <w:t>13,497</w:t>
            </w:r>
          </w:p>
        </w:tc>
        <w:tc>
          <w:tcPr>
            <w:tcW w:w="1724" w:type="dxa"/>
          </w:tcPr>
          <w:p w14:paraId="659B8D22" w14:textId="77777777" w:rsidR="00641860" w:rsidRPr="00641860" w:rsidRDefault="00641860" w:rsidP="00641860">
            <w:pPr>
              <w:pStyle w:val="TableTextRight"/>
            </w:pPr>
          </w:p>
        </w:tc>
        <w:tc>
          <w:tcPr>
            <w:tcW w:w="1724" w:type="dxa"/>
          </w:tcPr>
          <w:p w14:paraId="1B823B87" w14:textId="12A7167D" w:rsidR="00641860" w:rsidRPr="00641860" w:rsidRDefault="00641860" w:rsidP="00641860">
            <w:pPr>
              <w:pStyle w:val="TableTextRight"/>
            </w:pPr>
            <w:r w:rsidRPr="00137040">
              <w:t>134,973</w:t>
            </w:r>
          </w:p>
        </w:tc>
        <w:tc>
          <w:tcPr>
            <w:tcW w:w="1724" w:type="dxa"/>
          </w:tcPr>
          <w:p w14:paraId="6E326C47" w14:textId="095C3DA6" w:rsidR="00641860" w:rsidRPr="00641860" w:rsidRDefault="00641860" w:rsidP="00641860">
            <w:pPr>
              <w:pStyle w:val="TableTextRight"/>
            </w:pPr>
            <w:r w:rsidRPr="00137040">
              <w:t>344,705</w:t>
            </w:r>
          </w:p>
        </w:tc>
      </w:tr>
      <w:tr w:rsidR="00641860" w:rsidRPr="00641860" w14:paraId="29525DEC" w14:textId="77777777" w:rsidTr="00641860">
        <w:trPr>
          <w:trHeight w:val="60"/>
        </w:trPr>
        <w:tc>
          <w:tcPr>
            <w:tcW w:w="7471" w:type="dxa"/>
          </w:tcPr>
          <w:p w14:paraId="45D5A7D6" w14:textId="043FD1FE" w:rsidR="00641860" w:rsidRPr="00641860" w:rsidRDefault="00641860" w:rsidP="00641860">
            <w:pPr>
              <w:pStyle w:val="TableText"/>
            </w:pPr>
            <w:r w:rsidRPr="00137040">
              <w:t>Penalty income</w:t>
            </w:r>
          </w:p>
        </w:tc>
        <w:tc>
          <w:tcPr>
            <w:tcW w:w="1724" w:type="dxa"/>
          </w:tcPr>
          <w:p w14:paraId="30948F04" w14:textId="315D318C" w:rsidR="00641860" w:rsidRPr="00641860" w:rsidRDefault="00641860" w:rsidP="00641860">
            <w:pPr>
              <w:pStyle w:val="TableTextRight"/>
            </w:pPr>
          </w:p>
        </w:tc>
        <w:tc>
          <w:tcPr>
            <w:tcW w:w="1724" w:type="dxa"/>
          </w:tcPr>
          <w:p w14:paraId="4E3F50DD" w14:textId="77777777" w:rsidR="00641860" w:rsidRPr="00641860" w:rsidRDefault="00641860" w:rsidP="00641860">
            <w:pPr>
              <w:pStyle w:val="TableTextRight"/>
            </w:pPr>
          </w:p>
        </w:tc>
        <w:tc>
          <w:tcPr>
            <w:tcW w:w="1724" w:type="dxa"/>
          </w:tcPr>
          <w:p w14:paraId="6E0E01E7" w14:textId="1F67A92F" w:rsidR="00641860" w:rsidRPr="00641860" w:rsidRDefault="00641860" w:rsidP="00641860">
            <w:pPr>
              <w:pStyle w:val="TableTextRight"/>
            </w:pPr>
          </w:p>
        </w:tc>
        <w:tc>
          <w:tcPr>
            <w:tcW w:w="1724" w:type="dxa"/>
          </w:tcPr>
          <w:p w14:paraId="2A6BF008" w14:textId="77777777" w:rsidR="00641860" w:rsidRPr="00641860" w:rsidRDefault="00641860" w:rsidP="00641860">
            <w:pPr>
              <w:pStyle w:val="TableTextRight"/>
            </w:pPr>
          </w:p>
        </w:tc>
        <w:tc>
          <w:tcPr>
            <w:tcW w:w="1724" w:type="dxa"/>
          </w:tcPr>
          <w:p w14:paraId="09E43927" w14:textId="74A939C7" w:rsidR="00641860" w:rsidRPr="00641860" w:rsidRDefault="00641860" w:rsidP="00641860">
            <w:pPr>
              <w:pStyle w:val="TableTextRight"/>
            </w:pPr>
          </w:p>
        </w:tc>
        <w:tc>
          <w:tcPr>
            <w:tcW w:w="1724" w:type="dxa"/>
          </w:tcPr>
          <w:p w14:paraId="13714345" w14:textId="77777777" w:rsidR="00641860" w:rsidRPr="00641860" w:rsidRDefault="00641860" w:rsidP="00641860">
            <w:pPr>
              <w:pStyle w:val="TableTextRight"/>
            </w:pPr>
          </w:p>
        </w:tc>
        <w:tc>
          <w:tcPr>
            <w:tcW w:w="1724" w:type="dxa"/>
          </w:tcPr>
          <w:p w14:paraId="7B2E6715" w14:textId="29344CAB" w:rsidR="00641860" w:rsidRPr="00641860" w:rsidRDefault="00641860" w:rsidP="00641860">
            <w:pPr>
              <w:pStyle w:val="TableTextRight"/>
            </w:pPr>
            <w:r w:rsidRPr="00137040">
              <w:t>382,387</w:t>
            </w:r>
          </w:p>
        </w:tc>
        <w:tc>
          <w:tcPr>
            <w:tcW w:w="1724" w:type="dxa"/>
          </w:tcPr>
          <w:p w14:paraId="3E359999" w14:textId="56A3E32E" w:rsidR="00641860" w:rsidRPr="00641860" w:rsidRDefault="00641860" w:rsidP="00641860">
            <w:pPr>
              <w:pStyle w:val="TableTextRight"/>
            </w:pPr>
            <w:r w:rsidRPr="00137040">
              <w:t>382,387</w:t>
            </w:r>
          </w:p>
        </w:tc>
      </w:tr>
      <w:tr w:rsidR="00641860" w:rsidRPr="00641860" w14:paraId="69AEEE29" w14:textId="77777777" w:rsidTr="00641860">
        <w:trPr>
          <w:trHeight w:val="60"/>
        </w:trPr>
        <w:tc>
          <w:tcPr>
            <w:tcW w:w="7471" w:type="dxa"/>
          </w:tcPr>
          <w:p w14:paraId="57E9EA52" w14:textId="411F7B65" w:rsidR="00641860" w:rsidRPr="00641860" w:rsidRDefault="00641860" w:rsidP="00641860">
            <w:pPr>
              <w:pStyle w:val="TableText"/>
            </w:pPr>
            <w:r w:rsidRPr="00137040">
              <w:t>Net Transfers in</w:t>
            </w:r>
          </w:p>
        </w:tc>
        <w:tc>
          <w:tcPr>
            <w:tcW w:w="1724" w:type="dxa"/>
          </w:tcPr>
          <w:p w14:paraId="43CF1F7C" w14:textId="77777777" w:rsidR="00641860" w:rsidRPr="00641860" w:rsidRDefault="00641860" w:rsidP="00641860">
            <w:pPr>
              <w:pStyle w:val="TableTextRight"/>
            </w:pPr>
          </w:p>
        </w:tc>
        <w:tc>
          <w:tcPr>
            <w:tcW w:w="1724" w:type="dxa"/>
          </w:tcPr>
          <w:p w14:paraId="7BF7ADC3" w14:textId="77777777" w:rsidR="00641860" w:rsidRPr="00641860" w:rsidRDefault="00641860" w:rsidP="00641860">
            <w:pPr>
              <w:pStyle w:val="TableTextRight"/>
              <w:rPr>
                <w:rFonts w:ascii="VIC-SemiBold" w:hAnsi="VIC-SemiBold" w:cstheme="minorBidi"/>
              </w:rPr>
            </w:pPr>
          </w:p>
        </w:tc>
        <w:tc>
          <w:tcPr>
            <w:tcW w:w="1724" w:type="dxa"/>
          </w:tcPr>
          <w:p w14:paraId="67D20A3F" w14:textId="77777777" w:rsidR="00641860" w:rsidRPr="00641860" w:rsidRDefault="00641860" w:rsidP="00641860">
            <w:pPr>
              <w:pStyle w:val="TableTextRight"/>
            </w:pPr>
          </w:p>
        </w:tc>
        <w:tc>
          <w:tcPr>
            <w:tcW w:w="1724" w:type="dxa"/>
          </w:tcPr>
          <w:p w14:paraId="7FE00F30" w14:textId="77777777" w:rsidR="00641860" w:rsidRPr="00641860" w:rsidRDefault="00641860" w:rsidP="00641860">
            <w:pPr>
              <w:pStyle w:val="TableTextRight"/>
            </w:pPr>
          </w:p>
        </w:tc>
        <w:tc>
          <w:tcPr>
            <w:tcW w:w="1724" w:type="dxa"/>
          </w:tcPr>
          <w:p w14:paraId="51B3B1C0" w14:textId="417C4398" w:rsidR="00641860" w:rsidRPr="00641860" w:rsidRDefault="00641860" w:rsidP="00641860">
            <w:pPr>
              <w:pStyle w:val="TableTextRight"/>
            </w:pPr>
            <w:r w:rsidRPr="00137040">
              <w:t>32,280,000</w:t>
            </w:r>
          </w:p>
        </w:tc>
        <w:tc>
          <w:tcPr>
            <w:tcW w:w="1724" w:type="dxa"/>
          </w:tcPr>
          <w:p w14:paraId="75B7029D" w14:textId="65B4ABB5" w:rsidR="00641860" w:rsidRPr="00641860" w:rsidRDefault="00641860" w:rsidP="00641860">
            <w:pPr>
              <w:pStyle w:val="TableTextRight"/>
            </w:pPr>
            <w:r w:rsidRPr="00137040">
              <w:t>457,300</w:t>
            </w:r>
          </w:p>
        </w:tc>
        <w:tc>
          <w:tcPr>
            <w:tcW w:w="1724" w:type="dxa"/>
          </w:tcPr>
          <w:p w14:paraId="08EC4882" w14:textId="77777777" w:rsidR="00641860" w:rsidRPr="00641860" w:rsidRDefault="00641860" w:rsidP="00641860">
            <w:pPr>
              <w:pStyle w:val="TableTextRight"/>
            </w:pPr>
          </w:p>
        </w:tc>
        <w:tc>
          <w:tcPr>
            <w:tcW w:w="1724" w:type="dxa"/>
          </w:tcPr>
          <w:p w14:paraId="6BA66649" w14:textId="3A8187D7" w:rsidR="00641860" w:rsidRPr="00641860" w:rsidRDefault="00641860" w:rsidP="00641860">
            <w:pPr>
              <w:pStyle w:val="TableTextRight"/>
            </w:pPr>
            <w:r w:rsidRPr="00137040">
              <w:t>32,737,300</w:t>
            </w:r>
          </w:p>
        </w:tc>
      </w:tr>
      <w:tr w:rsidR="00641860" w:rsidRPr="00641860" w14:paraId="71CC4983" w14:textId="77777777" w:rsidTr="00641860">
        <w:trPr>
          <w:trHeight w:val="60"/>
        </w:trPr>
        <w:tc>
          <w:tcPr>
            <w:tcW w:w="7471" w:type="dxa"/>
            <w:shd w:val="clear" w:color="auto" w:fill="D3DBEE"/>
          </w:tcPr>
          <w:p w14:paraId="76F38D75" w14:textId="716664C3" w:rsidR="00641860" w:rsidRPr="00641860" w:rsidRDefault="00641860" w:rsidP="00641860">
            <w:pPr>
              <w:pStyle w:val="TableTextBold"/>
            </w:pPr>
            <w:r w:rsidRPr="00137040">
              <w:t>Total CAV Trust Funds Revenue</w:t>
            </w:r>
          </w:p>
        </w:tc>
        <w:tc>
          <w:tcPr>
            <w:tcW w:w="1724" w:type="dxa"/>
            <w:shd w:val="clear" w:color="auto" w:fill="D3DBEE"/>
          </w:tcPr>
          <w:p w14:paraId="7886B74A" w14:textId="7684A53F" w:rsidR="00641860" w:rsidRPr="00641860" w:rsidRDefault="00641860" w:rsidP="00641860">
            <w:pPr>
              <w:pStyle w:val="TableTextRightBold"/>
            </w:pPr>
            <w:r w:rsidRPr="00137040">
              <w:t>103,655</w:t>
            </w:r>
          </w:p>
        </w:tc>
        <w:tc>
          <w:tcPr>
            <w:tcW w:w="1724" w:type="dxa"/>
            <w:shd w:val="clear" w:color="auto" w:fill="D3DBEE"/>
          </w:tcPr>
          <w:p w14:paraId="63328066" w14:textId="5CB4DAC4" w:rsidR="00641860" w:rsidRPr="00641860" w:rsidRDefault="00641860" w:rsidP="00641860">
            <w:pPr>
              <w:pStyle w:val="TableTextRightBold"/>
            </w:pPr>
            <w:r w:rsidRPr="00137040">
              <w:t>24,335,443</w:t>
            </w:r>
          </w:p>
        </w:tc>
        <w:tc>
          <w:tcPr>
            <w:tcW w:w="1724" w:type="dxa"/>
            <w:shd w:val="clear" w:color="auto" w:fill="D3DBEE"/>
          </w:tcPr>
          <w:p w14:paraId="2374C643" w14:textId="3752C28D" w:rsidR="00641860" w:rsidRPr="00641860" w:rsidRDefault="00641860" w:rsidP="00641860">
            <w:pPr>
              <w:pStyle w:val="TableTextRightBold"/>
            </w:pPr>
            <w:r w:rsidRPr="00137040">
              <w:t>4,588,862</w:t>
            </w:r>
          </w:p>
        </w:tc>
        <w:tc>
          <w:tcPr>
            <w:tcW w:w="1724" w:type="dxa"/>
            <w:shd w:val="clear" w:color="auto" w:fill="D3DBEE"/>
          </w:tcPr>
          <w:p w14:paraId="51E6BFD2" w14:textId="47202C88" w:rsidR="00641860" w:rsidRPr="00641860" w:rsidRDefault="00641860" w:rsidP="00641860">
            <w:pPr>
              <w:pStyle w:val="TableTextRightBold"/>
            </w:pPr>
            <w:r w:rsidRPr="00137040">
              <w:t>66,153,127</w:t>
            </w:r>
          </w:p>
        </w:tc>
        <w:tc>
          <w:tcPr>
            <w:tcW w:w="1724" w:type="dxa"/>
            <w:shd w:val="clear" w:color="auto" w:fill="D3DBEE"/>
          </w:tcPr>
          <w:p w14:paraId="1C59C012" w14:textId="4F98555B" w:rsidR="00641860" w:rsidRPr="00641860" w:rsidRDefault="00641860" w:rsidP="00641860">
            <w:pPr>
              <w:pStyle w:val="TableTextRightBold"/>
            </w:pPr>
            <w:r w:rsidRPr="00137040">
              <w:t>36,629,917</w:t>
            </w:r>
          </w:p>
        </w:tc>
        <w:tc>
          <w:tcPr>
            <w:tcW w:w="1724" w:type="dxa"/>
            <w:shd w:val="clear" w:color="auto" w:fill="D3DBEE"/>
          </w:tcPr>
          <w:p w14:paraId="3A2A31C7" w14:textId="4127E286" w:rsidR="00641860" w:rsidRPr="00641860" w:rsidRDefault="00641860" w:rsidP="00641860">
            <w:pPr>
              <w:pStyle w:val="TableTextRightBold"/>
            </w:pPr>
            <w:r w:rsidRPr="00137040">
              <w:t>446,147</w:t>
            </w:r>
          </w:p>
        </w:tc>
        <w:tc>
          <w:tcPr>
            <w:tcW w:w="1724" w:type="dxa"/>
            <w:shd w:val="clear" w:color="auto" w:fill="D3DBEE"/>
          </w:tcPr>
          <w:p w14:paraId="7FC484D1" w14:textId="0ED8478C" w:rsidR="00641860" w:rsidRPr="00641860" w:rsidRDefault="00641860" w:rsidP="00641860">
            <w:pPr>
              <w:pStyle w:val="TableTextRightBold"/>
            </w:pPr>
            <w:r w:rsidRPr="00137040">
              <w:t>143,959,974</w:t>
            </w:r>
          </w:p>
        </w:tc>
        <w:tc>
          <w:tcPr>
            <w:tcW w:w="1724" w:type="dxa"/>
            <w:shd w:val="clear" w:color="auto" w:fill="D3DBEE"/>
          </w:tcPr>
          <w:p w14:paraId="31284ADA" w14:textId="4489DCB9" w:rsidR="00641860" w:rsidRPr="00641860" w:rsidRDefault="00641860" w:rsidP="00641860">
            <w:pPr>
              <w:pStyle w:val="TableTextRightBold"/>
            </w:pPr>
            <w:r w:rsidRPr="00137040">
              <w:t>276,217,124</w:t>
            </w:r>
          </w:p>
        </w:tc>
      </w:tr>
      <w:tr w:rsidR="008B53D8" w:rsidRPr="00641860" w14:paraId="6BBB1F04" w14:textId="77777777" w:rsidTr="00641860">
        <w:trPr>
          <w:trHeight w:val="60"/>
        </w:trPr>
        <w:tc>
          <w:tcPr>
            <w:tcW w:w="21263" w:type="dxa"/>
            <w:gridSpan w:val="9"/>
            <w:shd w:val="clear" w:color="auto" w:fill="BCCAE5"/>
          </w:tcPr>
          <w:p w14:paraId="452D08E5" w14:textId="2386D799" w:rsidR="008B53D8" w:rsidRPr="00641860" w:rsidRDefault="008B53D8" w:rsidP="008B53D8">
            <w:pPr>
              <w:pStyle w:val="TableTextBold"/>
            </w:pPr>
            <w:r w:rsidRPr="00641860">
              <w:t>CAV</w:t>
            </w:r>
            <w:r w:rsidR="00B556A3" w:rsidRPr="00641860">
              <w:t xml:space="preserve"> </w:t>
            </w:r>
            <w:r w:rsidRPr="00641860">
              <w:t>Trust</w:t>
            </w:r>
            <w:r w:rsidR="00B556A3" w:rsidRPr="00641860">
              <w:t xml:space="preserve"> </w:t>
            </w:r>
            <w:r w:rsidRPr="00641860">
              <w:t>Funds</w:t>
            </w:r>
            <w:r w:rsidR="00B556A3" w:rsidRPr="00641860">
              <w:t xml:space="preserve"> </w:t>
            </w:r>
            <w:r w:rsidRPr="00641860">
              <w:t>Expenditure</w:t>
            </w:r>
          </w:p>
        </w:tc>
      </w:tr>
      <w:tr w:rsidR="00C4204E" w:rsidRPr="00641860" w14:paraId="2446521A" w14:textId="77777777" w:rsidTr="00641860">
        <w:trPr>
          <w:trHeight w:val="60"/>
        </w:trPr>
        <w:tc>
          <w:tcPr>
            <w:tcW w:w="7471" w:type="dxa"/>
          </w:tcPr>
          <w:p w14:paraId="04A1D6E4" w14:textId="32B97282" w:rsidR="00C4204E" w:rsidRPr="00641860" w:rsidRDefault="00C4204E" w:rsidP="00C4204E">
            <w:pPr>
              <w:pStyle w:val="TableText"/>
            </w:pPr>
            <w:r w:rsidRPr="00B16ACC">
              <w:t>Audit services</w:t>
            </w:r>
          </w:p>
        </w:tc>
        <w:tc>
          <w:tcPr>
            <w:tcW w:w="1724" w:type="dxa"/>
          </w:tcPr>
          <w:p w14:paraId="4FBD94A9" w14:textId="77777777" w:rsidR="00C4204E" w:rsidRPr="00641860" w:rsidRDefault="00C4204E" w:rsidP="00C4204E">
            <w:pPr>
              <w:pStyle w:val="TableTextRight"/>
            </w:pPr>
          </w:p>
        </w:tc>
        <w:tc>
          <w:tcPr>
            <w:tcW w:w="1724" w:type="dxa"/>
          </w:tcPr>
          <w:p w14:paraId="36FCFB33" w14:textId="77777777" w:rsidR="00C4204E" w:rsidRPr="00641860" w:rsidRDefault="00C4204E" w:rsidP="00C4204E">
            <w:pPr>
              <w:pStyle w:val="TableTextRight"/>
            </w:pPr>
          </w:p>
        </w:tc>
        <w:tc>
          <w:tcPr>
            <w:tcW w:w="1724" w:type="dxa"/>
          </w:tcPr>
          <w:p w14:paraId="223DAB45" w14:textId="77777777" w:rsidR="00C4204E" w:rsidRPr="00641860" w:rsidRDefault="00C4204E" w:rsidP="00C4204E">
            <w:pPr>
              <w:pStyle w:val="TableTextRight"/>
            </w:pPr>
          </w:p>
        </w:tc>
        <w:tc>
          <w:tcPr>
            <w:tcW w:w="1724" w:type="dxa"/>
          </w:tcPr>
          <w:p w14:paraId="32E04471" w14:textId="0B0BB98D" w:rsidR="00C4204E" w:rsidRPr="00641860" w:rsidRDefault="00C4204E" w:rsidP="00C4204E">
            <w:pPr>
              <w:pStyle w:val="TableTextRight"/>
            </w:pPr>
            <w:r w:rsidRPr="00B16ACC">
              <w:t>37,950</w:t>
            </w:r>
          </w:p>
        </w:tc>
        <w:tc>
          <w:tcPr>
            <w:tcW w:w="1724" w:type="dxa"/>
          </w:tcPr>
          <w:p w14:paraId="60AE7CBD" w14:textId="77777777" w:rsidR="00C4204E" w:rsidRPr="00641860" w:rsidRDefault="00C4204E" w:rsidP="00C4204E">
            <w:pPr>
              <w:pStyle w:val="TableTextRight"/>
            </w:pPr>
          </w:p>
        </w:tc>
        <w:tc>
          <w:tcPr>
            <w:tcW w:w="1724" w:type="dxa"/>
          </w:tcPr>
          <w:p w14:paraId="20F448C3" w14:textId="77777777" w:rsidR="00C4204E" w:rsidRPr="00641860" w:rsidRDefault="00C4204E" w:rsidP="00C4204E">
            <w:pPr>
              <w:pStyle w:val="TableTextRight"/>
            </w:pPr>
          </w:p>
        </w:tc>
        <w:tc>
          <w:tcPr>
            <w:tcW w:w="1724" w:type="dxa"/>
          </w:tcPr>
          <w:p w14:paraId="56981C1B" w14:textId="77777777" w:rsidR="00C4204E" w:rsidRPr="00641860" w:rsidRDefault="00C4204E" w:rsidP="00C4204E">
            <w:pPr>
              <w:pStyle w:val="TableTextRight"/>
            </w:pPr>
          </w:p>
        </w:tc>
        <w:tc>
          <w:tcPr>
            <w:tcW w:w="1724" w:type="dxa"/>
          </w:tcPr>
          <w:p w14:paraId="247B2BA6" w14:textId="599B6834" w:rsidR="00C4204E" w:rsidRPr="00641860" w:rsidRDefault="00C4204E" w:rsidP="00C4204E">
            <w:pPr>
              <w:pStyle w:val="TableTextRight"/>
            </w:pPr>
            <w:r w:rsidRPr="00B16ACC">
              <w:t>37,950</w:t>
            </w:r>
          </w:p>
        </w:tc>
      </w:tr>
      <w:tr w:rsidR="00C4204E" w:rsidRPr="00641860" w14:paraId="34CDDF32" w14:textId="77777777" w:rsidTr="00641860">
        <w:trPr>
          <w:trHeight w:val="60"/>
        </w:trPr>
        <w:tc>
          <w:tcPr>
            <w:tcW w:w="7471" w:type="dxa"/>
          </w:tcPr>
          <w:p w14:paraId="38C87E45" w14:textId="31C1689D" w:rsidR="00C4204E" w:rsidRPr="00641860" w:rsidRDefault="00C4204E" w:rsidP="00C4204E">
            <w:pPr>
              <w:pStyle w:val="TableText"/>
            </w:pPr>
            <w:r w:rsidRPr="00B16ACC">
              <w:t>Claims on consumer guarantee funds</w:t>
            </w:r>
          </w:p>
        </w:tc>
        <w:tc>
          <w:tcPr>
            <w:tcW w:w="1724" w:type="dxa"/>
          </w:tcPr>
          <w:p w14:paraId="7EA0FA33" w14:textId="77777777" w:rsidR="00C4204E" w:rsidRPr="00641860" w:rsidRDefault="00C4204E" w:rsidP="00C4204E">
            <w:pPr>
              <w:pStyle w:val="TableTextRight"/>
            </w:pPr>
          </w:p>
        </w:tc>
        <w:tc>
          <w:tcPr>
            <w:tcW w:w="1724" w:type="dxa"/>
          </w:tcPr>
          <w:p w14:paraId="00AB6E44" w14:textId="77777777" w:rsidR="00C4204E" w:rsidRPr="00641860" w:rsidRDefault="00C4204E" w:rsidP="00C4204E">
            <w:pPr>
              <w:pStyle w:val="TableTextRight"/>
            </w:pPr>
          </w:p>
        </w:tc>
        <w:tc>
          <w:tcPr>
            <w:tcW w:w="1724" w:type="dxa"/>
          </w:tcPr>
          <w:p w14:paraId="4BB1E438" w14:textId="4F76147D" w:rsidR="00C4204E" w:rsidRPr="00641860" w:rsidRDefault="00C4204E" w:rsidP="00C4204E">
            <w:pPr>
              <w:pStyle w:val="TableTextRight"/>
            </w:pPr>
            <w:r w:rsidRPr="00B16ACC">
              <w:t>115,940</w:t>
            </w:r>
          </w:p>
        </w:tc>
        <w:tc>
          <w:tcPr>
            <w:tcW w:w="1724" w:type="dxa"/>
          </w:tcPr>
          <w:p w14:paraId="028D170F" w14:textId="77777777" w:rsidR="00C4204E" w:rsidRPr="00641860" w:rsidRDefault="00C4204E" w:rsidP="00C4204E">
            <w:pPr>
              <w:pStyle w:val="TableTextRight"/>
            </w:pPr>
          </w:p>
        </w:tc>
        <w:tc>
          <w:tcPr>
            <w:tcW w:w="1724" w:type="dxa"/>
          </w:tcPr>
          <w:p w14:paraId="79BA49CD" w14:textId="77777777" w:rsidR="00C4204E" w:rsidRPr="00641860" w:rsidRDefault="00C4204E" w:rsidP="00C4204E">
            <w:pPr>
              <w:pStyle w:val="TableTextRight"/>
            </w:pPr>
          </w:p>
        </w:tc>
        <w:tc>
          <w:tcPr>
            <w:tcW w:w="1724" w:type="dxa"/>
          </w:tcPr>
          <w:p w14:paraId="7AAE35E2" w14:textId="77777777" w:rsidR="00C4204E" w:rsidRPr="00641860" w:rsidRDefault="00C4204E" w:rsidP="00C4204E">
            <w:pPr>
              <w:pStyle w:val="TableTextRight"/>
            </w:pPr>
          </w:p>
        </w:tc>
        <w:tc>
          <w:tcPr>
            <w:tcW w:w="1724" w:type="dxa"/>
          </w:tcPr>
          <w:p w14:paraId="08560BFA" w14:textId="212D292D" w:rsidR="00C4204E" w:rsidRPr="00641860" w:rsidRDefault="00C4204E" w:rsidP="00C4204E">
            <w:pPr>
              <w:pStyle w:val="TableTextRight"/>
            </w:pPr>
            <w:r w:rsidRPr="00B16ACC">
              <w:t>3,848,211</w:t>
            </w:r>
          </w:p>
        </w:tc>
        <w:tc>
          <w:tcPr>
            <w:tcW w:w="1724" w:type="dxa"/>
          </w:tcPr>
          <w:p w14:paraId="68162672" w14:textId="50AB1814" w:rsidR="00C4204E" w:rsidRPr="00641860" w:rsidRDefault="00C4204E" w:rsidP="00C4204E">
            <w:pPr>
              <w:pStyle w:val="TableTextRight"/>
            </w:pPr>
            <w:r w:rsidRPr="00B16ACC">
              <w:t>3,964,151</w:t>
            </w:r>
          </w:p>
        </w:tc>
      </w:tr>
      <w:tr w:rsidR="00C4204E" w:rsidRPr="00641860" w14:paraId="031F1D49" w14:textId="77777777" w:rsidTr="00641860">
        <w:trPr>
          <w:trHeight w:val="60"/>
        </w:trPr>
        <w:tc>
          <w:tcPr>
            <w:tcW w:w="7471" w:type="dxa"/>
          </w:tcPr>
          <w:p w14:paraId="58F85DB3" w14:textId="5C07A898" w:rsidR="00C4204E" w:rsidRPr="00641860" w:rsidRDefault="00C4204E" w:rsidP="00C4204E">
            <w:pPr>
              <w:pStyle w:val="TableText"/>
            </w:pPr>
            <w:r w:rsidRPr="00B16ACC">
              <w:t>Contractors, consultants and professional services</w:t>
            </w:r>
          </w:p>
        </w:tc>
        <w:tc>
          <w:tcPr>
            <w:tcW w:w="1724" w:type="dxa"/>
          </w:tcPr>
          <w:p w14:paraId="4B2F8261" w14:textId="77777777" w:rsidR="00C4204E" w:rsidRPr="00641860" w:rsidRDefault="00C4204E" w:rsidP="00C4204E">
            <w:pPr>
              <w:pStyle w:val="TableTextRight"/>
            </w:pPr>
          </w:p>
        </w:tc>
        <w:tc>
          <w:tcPr>
            <w:tcW w:w="1724" w:type="dxa"/>
          </w:tcPr>
          <w:p w14:paraId="78A9A1B8" w14:textId="06CB3E42" w:rsidR="00C4204E" w:rsidRPr="00641860" w:rsidRDefault="00C4204E" w:rsidP="00C4204E">
            <w:pPr>
              <w:pStyle w:val="TableTextRight"/>
            </w:pPr>
            <w:r w:rsidRPr="00B16ACC">
              <w:t>388,026</w:t>
            </w:r>
          </w:p>
        </w:tc>
        <w:tc>
          <w:tcPr>
            <w:tcW w:w="1724" w:type="dxa"/>
          </w:tcPr>
          <w:p w14:paraId="1EAE11EC" w14:textId="6EAF987C" w:rsidR="00C4204E" w:rsidRPr="00641860" w:rsidRDefault="00C4204E" w:rsidP="00C4204E">
            <w:pPr>
              <w:pStyle w:val="TableTextRight"/>
            </w:pPr>
            <w:r w:rsidRPr="00B16ACC">
              <w:t>20,416</w:t>
            </w:r>
          </w:p>
        </w:tc>
        <w:tc>
          <w:tcPr>
            <w:tcW w:w="1724" w:type="dxa"/>
          </w:tcPr>
          <w:p w14:paraId="16F24ACD" w14:textId="18A1638D" w:rsidR="00C4204E" w:rsidRPr="00641860" w:rsidRDefault="00C4204E" w:rsidP="00C4204E">
            <w:pPr>
              <w:pStyle w:val="TableTextRight"/>
            </w:pPr>
            <w:r w:rsidRPr="00B16ACC">
              <w:t>2,583,824</w:t>
            </w:r>
          </w:p>
        </w:tc>
        <w:tc>
          <w:tcPr>
            <w:tcW w:w="1724" w:type="dxa"/>
          </w:tcPr>
          <w:p w14:paraId="682C598F" w14:textId="585AE54E" w:rsidR="00C4204E" w:rsidRPr="00641860" w:rsidRDefault="00C4204E" w:rsidP="00C4204E">
            <w:pPr>
              <w:pStyle w:val="TableTextRight"/>
            </w:pPr>
            <w:r w:rsidRPr="00B16ACC">
              <w:t>106,033</w:t>
            </w:r>
          </w:p>
        </w:tc>
        <w:tc>
          <w:tcPr>
            <w:tcW w:w="1724" w:type="dxa"/>
          </w:tcPr>
          <w:p w14:paraId="0874C0E8" w14:textId="712FC4BF" w:rsidR="00C4204E" w:rsidRPr="00641860" w:rsidRDefault="00C4204E" w:rsidP="00C4204E">
            <w:pPr>
              <w:pStyle w:val="TableTextRight"/>
            </w:pPr>
            <w:r w:rsidRPr="00B16ACC">
              <w:t>19,988</w:t>
            </w:r>
          </w:p>
        </w:tc>
        <w:tc>
          <w:tcPr>
            <w:tcW w:w="1724" w:type="dxa"/>
          </w:tcPr>
          <w:p w14:paraId="021944B9" w14:textId="040E653F" w:rsidR="00C4204E" w:rsidRPr="00641860" w:rsidRDefault="00C4204E" w:rsidP="00C4204E">
            <w:pPr>
              <w:pStyle w:val="TableTextRight"/>
            </w:pPr>
            <w:r w:rsidRPr="00B16ACC">
              <w:t>1,353,540</w:t>
            </w:r>
          </w:p>
        </w:tc>
        <w:tc>
          <w:tcPr>
            <w:tcW w:w="1724" w:type="dxa"/>
          </w:tcPr>
          <w:p w14:paraId="1E6E28C7" w14:textId="656D8D30" w:rsidR="00C4204E" w:rsidRPr="00641860" w:rsidRDefault="00C4204E" w:rsidP="00C4204E">
            <w:pPr>
              <w:pStyle w:val="TableTextRight"/>
            </w:pPr>
            <w:r w:rsidRPr="00B16ACC">
              <w:t>4,471,827</w:t>
            </w:r>
          </w:p>
        </w:tc>
      </w:tr>
      <w:tr w:rsidR="00C4204E" w:rsidRPr="00641860" w14:paraId="55517D40" w14:textId="77777777" w:rsidTr="00641860">
        <w:trPr>
          <w:trHeight w:val="60"/>
        </w:trPr>
        <w:tc>
          <w:tcPr>
            <w:tcW w:w="7471" w:type="dxa"/>
          </w:tcPr>
          <w:p w14:paraId="5BB32C78" w14:textId="27510D97" w:rsidR="00C4204E" w:rsidRPr="00641860" w:rsidRDefault="00C4204E" w:rsidP="00C4204E">
            <w:pPr>
              <w:pStyle w:val="TableText"/>
            </w:pPr>
            <w:r w:rsidRPr="00B16ACC">
              <w:t>Employee related costs</w:t>
            </w:r>
          </w:p>
        </w:tc>
        <w:tc>
          <w:tcPr>
            <w:tcW w:w="1724" w:type="dxa"/>
          </w:tcPr>
          <w:p w14:paraId="03BDE538" w14:textId="1F1616DF" w:rsidR="00C4204E" w:rsidRPr="00641860" w:rsidRDefault="00C4204E" w:rsidP="00C4204E">
            <w:pPr>
              <w:pStyle w:val="TableTextRight"/>
            </w:pPr>
            <w:r w:rsidRPr="00B16ACC">
              <w:t>120</w:t>
            </w:r>
          </w:p>
        </w:tc>
        <w:tc>
          <w:tcPr>
            <w:tcW w:w="1724" w:type="dxa"/>
          </w:tcPr>
          <w:p w14:paraId="270F55DC" w14:textId="74AD3049" w:rsidR="00C4204E" w:rsidRPr="00641860" w:rsidRDefault="00C4204E" w:rsidP="00C4204E">
            <w:pPr>
              <w:pStyle w:val="TableTextRight"/>
            </w:pPr>
            <w:r w:rsidRPr="00B16ACC">
              <w:t>11,739,868</w:t>
            </w:r>
          </w:p>
        </w:tc>
        <w:tc>
          <w:tcPr>
            <w:tcW w:w="1724" w:type="dxa"/>
          </w:tcPr>
          <w:p w14:paraId="125D9B76" w14:textId="4713BFE8" w:rsidR="00C4204E" w:rsidRPr="00641860" w:rsidRDefault="00C4204E" w:rsidP="00C4204E">
            <w:pPr>
              <w:pStyle w:val="TableTextRight"/>
            </w:pPr>
            <w:r w:rsidRPr="00B16ACC">
              <w:t>1,565,745</w:t>
            </w:r>
          </w:p>
        </w:tc>
        <w:tc>
          <w:tcPr>
            <w:tcW w:w="1724" w:type="dxa"/>
          </w:tcPr>
          <w:p w14:paraId="2C21BCBC" w14:textId="6DE05041" w:rsidR="00C4204E" w:rsidRPr="00641860" w:rsidRDefault="00C4204E" w:rsidP="00C4204E">
            <w:pPr>
              <w:pStyle w:val="TableTextRight"/>
            </w:pPr>
            <w:r w:rsidRPr="00B16ACC">
              <w:t>3,481,262</w:t>
            </w:r>
          </w:p>
        </w:tc>
        <w:tc>
          <w:tcPr>
            <w:tcW w:w="1724" w:type="dxa"/>
          </w:tcPr>
          <w:p w14:paraId="25523AFC" w14:textId="5FDFDCF3" w:rsidR="00C4204E" w:rsidRPr="00641860" w:rsidRDefault="00C4204E" w:rsidP="00C4204E">
            <w:pPr>
              <w:pStyle w:val="TableTextRight"/>
            </w:pPr>
            <w:r w:rsidRPr="00B16ACC">
              <w:t>11,265,665</w:t>
            </w:r>
          </w:p>
        </w:tc>
        <w:tc>
          <w:tcPr>
            <w:tcW w:w="1724" w:type="dxa"/>
          </w:tcPr>
          <w:p w14:paraId="5EADA259" w14:textId="7CD159F9" w:rsidR="00C4204E" w:rsidRPr="00641860" w:rsidRDefault="00C4204E" w:rsidP="00C4204E">
            <w:pPr>
              <w:pStyle w:val="TableTextRight"/>
            </w:pPr>
            <w:r w:rsidRPr="00B16ACC">
              <w:t>336,964</w:t>
            </w:r>
          </w:p>
        </w:tc>
        <w:tc>
          <w:tcPr>
            <w:tcW w:w="1724" w:type="dxa"/>
          </w:tcPr>
          <w:p w14:paraId="463A1124" w14:textId="678F9686" w:rsidR="00C4204E" w:rsidRPr="00641860" w:rsidRDefault="00C4204E" w:rsidP="00C4204E">
            <w:pPr>
              <w:pStyle w:val="TableTextRight"/>
            </w:pPr>
            <w:r w:rsidRPr="00B16ACC">
              <w:t>10,613,854</w:t>
            </w:r>
          </w:p>
        </w:tc>
        <w:tc>
          <w:tcPr>
            <w:tcW w:w="1724" w:type="dxa"/>
          </w:tcPr>
          <w:p w14:paraId="3CB05FA1" w14:textId="1A5DDD02" w:rsidR="00C4204E" w:rsidRPr="00641860" w:rsidRDefault="00C4204E" w:rsidP="00C4204E">
            <w:pPr>
              <w:pStyle w:val="TableTextRight"/>
            </w:pPr>
            <w:r w:rsidRPr="00B16ACC">
              <w:t>39,003,477</w:t>
            </w:r>
          </w:p>
        </w:tc>
      </w:tr>
      <w:tr w:rsidR="00C4204E" w:rsidRPr="00641860" w14:paraId="5AF832EA" w14:textId="77777777" w:rsidTr="00641860">
        <w:trPr>
          <w:trHeight w:val="60"/>
        </w:trPr>
        <w:tc>
          <w:tcPr>
            <w:tcW w:w="7471" w:type="dxa"/>
          </w:tcPr>
          <w:p w14:paraId="08473B0C" w14:textId="4388D4F2" w:rsidR="00C4204E" w:rsidRPr="00641860" w:rsidRDefault="00C4204E" w:rsidP="00C4204E">
            <w:pPr>
              <w:pStyle w:val="TableText"/>
            </w:pPr>
            <w:r w:rsidRPr="00B16ACC">
              <w:t>Grants paid</w:t>
            </w:r>
          </w:p>
        </w:tc>
        <w:tc>
          <w:tcPr>
            <w:tcW w:w="1724" w:type="dxa"/>
          </w:tcPr>
          <w:p w14:paraId="2FB0FFEC" w14:textId="7CD75F91" w:rsidR="00C4204E" w:rsidRPr="00641860" w:rsidRDefault="00C4204E" w:rsidP="00C4204E">
            <w:pPr>
              <w:pStyle w:val="TableTextRight"/>
            </w:pPr>
            <w:r w:rsidRPr="00B16ACC">
              <w:t>1,448,896</w:t>
            </w:r>
          </w:p>
        </w:tc>
        <w:tc>
          <w:tcPr>
            <w:tcW w:w="1724" w:type="dxa"/>
          </w:tcPr>
          <w:p w14:paraId="3456BBEE" w14:textId="0570F4D1" w:rsidR="00C4204E" w:rsidRPr="00641860" w:rsidRDefault="00C4204E" w:rsidP="00C4204E">
            <w:pPr>
              <w:pStyle w:val="TableTextRight"/>
            </w:pPr>
            <w:r w:rsidRPr="00B16ACC">
              <w:t>6,253,098</w:t>
            </w:r>
          </w:p>
        </w:tc>
        <w:tc>
          <w:tcPr>
            <w:tcW w:w="1724" w:type="dxa"/>
          </w:tcPr>
          <w:p w14:paraId="7E745FF7" w14:textId="77777777" w:rsidR="00C4204E" w:rsidRPr="00641860" w:rsidRDefault="00C4204E" w:rsidP="00C4204E">
            <w:pPr>
              <w:pStyle w:val="TableTextRight"/>
            </w:pPr>
          </w:p>
        </w:tc>
        <w:tc>
          <w:tcPr>
            <w:tcW w:w="1724" w:type="dxa"/>
          </w:tcPr>
          <w:p w14:paraId="51928403" w14:textId="77777777" w:rsidR="00C4204E" w:rsidRPr="00641860" w:rsidRDefault="00C4204E" w:rsidP="00C4204E">
            <w:pPr>
              <w:pStyle w:val="TableTextRight"/>
            </w:pPr>
          </w:p>
        </w:tc>
        <w:tc>
          <w:tcPr>
            <w:tcW w:w="1724" w:type="dxa"/>
          </w:tcPr>
          <w:p w14:paraId="7CDF3589" w14:textId="3946DF1B" w:rsidR="00C4204E" w:rsidRPr="00641860" w:rsidRDefault="00C4204E" w:rsidP="00C4204E">
            <w:pPr>
              <w:pStyle w:val="TableTextRight"/>
            </w:pPr>
            <w:r w:rsidRPr="00B16ACC">
              <w:t>24,019,613</w:t>
            </w:r>
          </w:p>
        </w:tc>
        <w:tc>
          <w:tcPr>
            <w:tcW w:w="1724" w:type="dxa"/>
          </w:tcPr>
          <w:p w14:paraId="1A15CFCB" w14:textId="77777777" w:rsidR="00C4204E" w:rsidRPr="00641860" w:rsidRDefault="00C4204E" w:rsidP="00C4204E">
            <w:pPr>
              <w:pStyle w:val="TableTextRight"/>
            </w:pPr>
          </w:p>
        </w:tc>
        <w:tc>
          <w:tcPr>
            <w:tcW w:w="1724" w:type="dxa"/>
          </w:tcPr>
          <w:p w14:paraId="51D15E5C" w14:textId="1FA2ED90" w:rsidR="00C4204E" w:rsidRPr="00641860" w:rsidRDefault="00C4204E" w:rsidP="00C4204E">
            <w:pPr>
              <w:pStyle w:val="TableTextRight"/>
            </w:pPr>
            <w:r w:rsidRPr="00B16ACC">
              <w:t>12,090,225</w:t>
            </w:r>
          </w:p>
        </w:tc>
        <w:tc>
          <w:tcPr>
            <w:tcW w:w="1724" w:type="dxa"/>
          </w:tcPr>
          <w:p w14:paraId="681DD16D" w14:textId="03F64A0E" w:rsidR="00C4204E" w:rsidRPr="00641860" w:rsidRDefault="00C4204E" w:rsidP="00C4204E">
            <w:pPr>
              <w:pStyle w:val="TableTextRight"/>
            </w:pPr>
            <w:r w:rsidRPr="00B16ACC">
              <w:t>43,811,831</w:t>
            </w:r>
          </w:p>
        </w:tc>
      </w:tr>
      <w:tr w:rsidR="00C4204E" w:rsidRPr="00641860" w14:paraId="5341F6FF" w14:textId="77777777" w:rsidTr="00641860">
        <w:trPr>
          <w:trHeight w:val="60"/>
        </w:trPr>
        <w:tc>
          <w:tcPr>
            <w:tcW w:w="7471" w:type="dxa"/>
          </w:tcPr>
          <w:p w14:paraId="7EC61F8F" w14:textId="4687F61C" w:rsidR="00C4204E" w:rsidRPr="00641860" w:rsidRDefault="00C4204E" w:rsidP="00C4204E">
            <w:pPr>
              <w:pStyle w:val="TableText"/>
            </w:pPr>
            <w:r w:rsidRPr="00B16ACC">
              <w:t>Information technology</w:t>
            </w:r>
          </w:p>
        </w:tc>
        <w:tc>
          <w:tcPr>
            <w:tcW w:w="1724" w:type="dxa"/>
          </w:tcPr>
          <w:p w14:paraId="11B5A803" w14:textId="77777777" w:rsidR="00C4204E" w:rsidRPr="00641860" w:rsidRDefault="00C4204E" w:rsidP="00C4204E">
            <w:pPr>
              <w:pStyle w:val="TableTextRight"/>
            </w:pPr>
          </w:p>
        </w:tc>
        <w:tc>
          <w:tcPr>
            <w:tcW w:w="1724" w:type="dxa"/>
          </w:tcPr>
          <w:p w14:paraId="00FB46B2" w14:textId="4198DB74" w:rsidR="00C4204E" w:rsidRPr="00641860" w:rsidRDefault="00C4204E" w:rsidP="00C4204E">
            <w:pPr>
              <w:pStyle w:val="TableTextRight"/>
            </w:pPr>
            <w:r w:rsidRPr="00B16ACC">
              <w:t>606,863</w:t>
            </w:r>
          </w:p>
        </w:tc>
        <w:tc>
          <w:tcPr>
            <w:tcW w:w="1724" w:type="dxa"/>
          </w:tcPr>
          <w:p w14:paraId="42D3D8B4" w14:textId="32A58538" w:rsidR="00C4204E" w:rsidRPr="00641860" w:rsidRDefault="00C4204E" w:rsidP="00C4204E">
            <w:pPr>
              <w:pStyle w:val="TableTextRight"/>
            </w:pPr>
            <w:r w:rsidRPr="00B16ACC">
              <w:t>17,343</w:t>
            </w:r>
          </w:p>
        </w:tc>
        <w:tc>
          <w:tcPr>
            <w:tcW w:w="1724" w:type="dxa"/>
          </w:tcPr>
          <w:p w14:paraId="542D5A84" w14:textId="473D7CC0" w:rsidR="00C4204E" w:rsidRPr="00641860" w:rsidRDefault="00C4204E" w:rsidP="00C4204E">
            <w:pPr>
              <w:pStyle w:val="TableTextRight"/>
            </w:pPr>
            <w:r w:rsidRPr="00B16ACC">
              <w:t>146,496</w:t>
            </w:r>
          </w:p>
        </w:tc>
        <w:tc>
          <w:tcPr>
            <w:tcW w:w="1724" w:type="dxa"/>
          </w:tcPr>
          <w:p w14:paraId="6AF6592F" w14:textId="00D0B8F6" w:rsidR="00C4204E" w:rsidRPr="00641860" w:rsidRDefault="00C4204E" w:rsidP="00C4204E">
            <w:pPr>
              <w:pStyle w:val="TableTextRight"/>
            </w:pPr>
            <w:r w:rsidRPr="00B16ACC">
              <w:t>466,138</w:t>
            </w:r>
          </w:p>
        </w:tc>
        <w:tc>
          <w:tcPr>
            <w:tcW w:w="1724" w:type="dxa"/>
          </w:tcPr>
          <w:p w14:paraId="07C85B1C" w14:textId="58DA1413" w:rsidR="00C4204E" w:rsidRPr="00641860" w:rsidRDefault="00C4204E" w:rsidP="00C4204E">
            <w:pPr>
              <w:pStyle w:val="TableTextRight"/>
            </w:pPr>
            <w:r w:rsidRPr="00B16ACC">
              <w:t>8,894</w:t>
            </w:r>
          </w:p>
        </w:tc>
        <w:tc>
          <w:tcPr>
            <w:tcW w:w="1724" w:type="dxa"/>
          </w:tcPr>
          <w:p w14:paraId="2C5BFE64" w14:textId="7718283B" w:rsidR="00C4204E" w:rsidRPr="00641860" w:rsidRDefault="00C4204E" w:rsidP="00C4204E">
            <w:pPr>
              <w:pStyle w:val="TableTextRight"/>
            </w:pPr>
            <w:r w:rsidRPr="00B16ACC">
              <w:t>533,574</w:t>
            </w:r>
          </w:p>
        </w:tc>
        <w:tc>
          <w:tcPr>
            <w:tcW w:w="1724" w:type="dxa"/>
          </w:tcPr>
          <w:p w14:paraId="603B052A" w14:textId="5FA32034" w:rsidR="00C4204E" w:rsidRPr="00641860" w:rsidRDefault="00C4204E" w:rsidP="00C4204E">
            <w:pPr>
              <w:pStyle w:val="TableTextRight"/>
            </w:pPr>
            <w:r w:rsidRPr="00B16ACC">
              <w:t>1,779,309</w:t>
            </w:r>
          </w:p>
        </w:tc>
      </w:tr>
      <w:tr w:rsidR="00C4204E" w:rsidRPr="00641860" w14:paraId="738B2229" w14:textId="77777777" w:rsidTr="00641860">
        <w:trPr>
          <w:trHeight w:val="60"/>
        </w:trPr>
        <w:tc>
          <w:tcPr>
            <w:tcW w:w="7471" w:type="dxa"/>
          </w:tcPr>
          <w:p w14:paraId="24AD6D34" w14:textId="6B1E644A" w:rsidR="00C4204E" w:rsidRPr="00641860" w:rsidRDefault="00C4204E" w:rsidP="00C4204E">
            <w:pPr>
              <w:pStyle w:val="TableText"/>
            </w:pPr>
            <w:r w:rsidRPr="00B16ACC">
              <w:t>Occupancy costs</w:t>
            </w:r>
          </w:p>
        </w:tc>
        <w:tc>
          <w:tcPr>
            <w:tcW w:w="1724" w:type="dxa"/>
          </w:tcPr>
          <w:p w14:paraId="2C433231" w14:textId="77777777" w:rsidR="00C4204E" w:rsidRPr="00641860" w:rsidRDefault="00C4204E" w:rsidP="00C4204E">
            <w:pPr>
              <w:pStyle w:val="TableTextRight"/>
            </w:pPr>
          </w:p>
        </w:tc>
        <w:tc>
          <w:tcPr>
            <w:tcW w:w="1724" w:type="dxa"/>
          </w:tcPr>
          <w:p w14:paraId="28E95486" w14:textId="2913E8F8" w:rsidR="00C4204E" w:rsidRPr="00641860" w:rsidRDefault="00C4204E" w:rsidP="00C4204E">
            <w:pPr>
              <w:pStyle w:val="TableTextRight"/>
            </w:pPr>
            <w:r w:rsidRPr="00B16ACC">
              <w:t>54,754</w:t>
            </w:r>
          </w:p>
        </w:tc>
        <w:tc>
          <w:tcPr>
            <w:tcW w:w="1724" w:type="dxa"/>
          </w:tcPr>
          <w:p w14:paraId="1A5C608A" w14:textId="732FC792" w:rsidR="00C4204E" w:rsidRPr="00641860" w:rsidRDefault="00C4204E" w:rsidP="00C4204E">
            <w:pPr>
              <w:pStyle w:val="TableTextRight"/>
            </w:pPr>
            <w:r w:rsidRPr="00B16ACC">
              <w:t>15,410</w:t>
            </w:r>
          </w:p>
        </w:tc>
        <w:tc>
          <w:tcPr>
            <w:tcW w:w="1724" w:type="dxa"/>
          </w:tcPr>
          <w:p w14:paraId="64F04906" w14:textId="53CF95AF" w:rsidR="00C4204E" w:rsidRPr="00641860" w:rsidRDefault="00C4204E" w:rsidP="00C4204E">
            <w:pPr>
              <w:pStyle w:val="TableTextRight"/>
            </w:pPr>
            <w:r w:rsidRPr="00B16ACC">
              <w:t>84,486</w:t>
            </w:r>
          </w:p>
        </w:tc>
        <w:tc>
          <w:tcPr>
            <w:tcW w:w="1724" w:type="dxa"/>
          </w:tcPr>
          <w:p w14:paraId="712E628A" w14:textId="7F3D36C1" w:rsidR="00C4204E" w:rsidRPr="00641860" w:rsidRDefault="00C4204E" w:rsidP="00C4204E">
            <w:pPr>
              <w:pStyle w:val="TableTextRight"/>
            </w:pPr>
            <w:r w:rsidRPr="00B16ACC">
              <w:t>338,873</w:t>
            </w:r>
          </w:p>
        </w:tc>
        <w:tc>
          <w:tcPr>
            <w:tcW w:w="1724" w:type="dxa"/>
          </w:tcPr>
          <w:p w14:paraId="1B872F89" w14:textId="132C83E7" w:rsidR="00C4204E" w:rsidRPr="00641860" w:rsidRDefault="00C4204E" w:rsidP="00C4204E">
            <w:pPr>
              <w:pStyle w:val="TableTextRight"/>
            </w:pPr>
            <w:r w:rsidRPr="00B16ACC">
              <w:t>2,138</w:t>
            </w:r>
          </w:p>
        </w:tc>
        <w:tc>
          <w:tcPr>
            <w:tcW w:w="1724" w:type="dxa"/>
          </w:tcPr>
          <w:p w14:paraId="2C3767B9" w14:textId="2C91331C" w:rsidR="00C4204E" w:rsidRPr="00641860" w:rsidRDefault="00C4204E" w:rsidP="00C4204E">
            <w:pPr>
              <w:pStyle w:val="TableTextRight"/>
            </w:pPr>
            <w:r w:rsidRPr="00B16ACC">
              <w:t>81,498</w:t>
            </w:r>
          </w:p>
        </w:tc>
        <w:tc>
          <w:tcPr>
            <w:tcW w:w="1724" w:type="dxa"/>
          </w:tcPr>
          <w:p w14:paraId="6492EC96" w14:textId="34139E42" w:rsidR="00C4204E" w:rsidRPr="00641860" w:rsidRDefault="00C4204E" w:rsidP="00C4204E">
            <w:pPr>
              <w:pStyle w:val="TableTextRight"/>
            </w:pPr>
            <w:r w:rsidRPr="00B16ACC">
              <w:t>577,161</w:t>
            </w:r>
          </w:p>
        </w:tc>
      </w:tr>
      <w:tr w:rsidR="00C4204E" w:rsidRPr="00641860" w14:paraId="2BAEBC5E" w14:textId="77777777" w:rsidTr="00641860">
        <w:trPr>
          <w:trHeight w:val="60"/>
        </w:trPr>
        <w:tc>
          <w:tcPr>
            <w:tcW w:w="7471" w:type="dxa"/>
          </w:tcPr>
          <w:p w14:paraId="3BAA7FC6" w14:textId="0FCCA5AB" w:rsidR="00C4204E" w:rsidRPr="00641860" w:rsidRDefault="00C4204E" w:rsidP="00C4204E">
            <w:pPr>
              <w:pStyle w:val="TableText"/>
            </w:pPr>
            <w:r w:rsidRPr="00B16ACC">
              <w:t>Other operating costs</w:t>
            </w:r>
          </w:p>
        </w:tc>
        <w:tc>
          <w:tcPr>
            <w:tcW w:w="1724" w:type="dxa"/>
          </w:tcPr>
          <w:p w14:paraId="16F49298" w14:textId="77777777" w:rsidR="00C4204E" w:rsidRPr="00641860" w:rsidRDefault="00C4204E" w:rsidP="00C4204E">
            <w:pPr>
              <w:pStyle w:val="TableTextRight"/>
            </w:pPr>
          </w:p>
        </w:tc>
        <w:tc>
          <w:tcPr>
            <w:tcW w:w="1724" w:type="dxa"/>
          </w:tcPr>
          <w:p w14:paraId="3FA88585" w14:textId="3F81C308" w:rsidR="00C4204E" w:rsidRPr="00641860" w:rsidRDefault="00C4204E" w:rsidP="00C4204E">
            <w:pPr>
              <w:pStyle w:val="TableTextRight"/>
            </w:pPr>
            <w:r w:rsidRPr="00B16ACC">
              <w:t>1,482,144</w:t>
            </w:r>
          </w:p>
        </w:tc>
        <w:tc>
          <w:tcPr>
            <w:tcW w:w="1724" w:type="dxa"/>
          </w:tcPr>
          <w:p w14:paraId="3F1710EA" w14:textId="2C6EE1DA" w:rsidR="00C4204E" w:rsidRPr="00641860" w:rsidRDefault="00C4204E" w:rsidP="00C4204E">
            <w:pPr>
              <w:pStyle w:val="TableTextRight"/>
            </w:pPr>
            <w:r w:rsidRPr="00B16ACC">
              <w:t>494,082</w:t>
            </w:r>
          </w:p>
        </w:tc>
        <w:tc>
          <w:tcPr>
            <w:tcW w:w="1724" w:type="dxa"/>
          </w:tcPr>
          <w:p w14:paraId="72F0B36D" w14:textId="598FAFCE" w:rsidR="00C4204E" w:rsidRPr="00641860" w:rsidRDefault="00C4204E" w:rsidP="00C4204E">
            <w:pPr>
              <w:pStyle w:val="TableTextRight"/>
            </w:pPr>
            <w:r w:rsidRPr="00B16ACC">
              <w:t>747,994</w:t>
            </w:r>
          </w:p>
        </w:tc>
        <w:tc>
          <w:tcPr>
            <w:tcW w:w="1724" w:type="dxa"/>
          </w:tcPr>
          <w:p w14:paraId="1720554F" w14:textId="6E6D3CBE" w:rsidR="00C4204E" w:rsidRPr="00641860" w:rsidRDefault="00C4204E" w:rsidP="00C4204E">
            <w:pPr>
              <w:pStyle w:val="TableTextRight"/>
            </w:pPr>
            <w:r w:rsidRPr="00B16ACC">
              <w:t>2,415,814</w:t>
            </w:r>
          </w:p>
        </w:tc>
        <w:tc>
          <w:tcPr>
            <w:tcW w:w="1724" w:type="dxa"/>
          </w:tcPr>
          <w:p w14:paraId="4E758327" w14:textId="3A66BF45" w:rsidR="00C4204E" w:rsidRPr="00641860" w:rsidRDefault="00C4204E" w:rsidP="00C4204E">
            <w:pPr>
              <w:pStyle w:val="TableTextRight"/>
            </w:pPr>
            <w:r w:rsidRPr="00B16ACC">
              <w:t>71,756</w:t>
            </w:r>
          </w:p>
        </w:tc>
        <w:tc>
          <w:tcPr>
            <w:tcW w:w="1724" w:type="dxa"/>
          </w:tcPr>
          <w:p w14:paraId="0D3545A3" w14:textId="1BF1EB5E" w:rsidR="00C4204E" w:rsidRPr="00641860" w:rsidRDefault="00C4204E" w:rsidP="00C4204E">
            <w:pPr>
              <w:pStyle w:val="TableTextRight"/>
            </w:pPr>
            <w:r w:rsidRPr="00B16ACC">
              <w:t>2,664,267</w:t>
            </w:r>
          </w:p>
        </w:tc>
        <w:tc>
          <w:tcPr>
            <w:tcW w:w="1724" w:type="dxa"/>
          </w:tcPr>
          <w:p w14:paraId="4FBD4938" w14:textId="5053FAB5" w:rsidR="00C4204E" w:rsidRPr="00641860" w:rsidRDefault="00C4204E" w:rsidP="00C4204E">
            <w:pPr>
              <w:pStyle w:val="TableTextRight"/>
            </w:pPr>
            <w:r w:rsidRPr="00B16ACC">
              <w:t>7,876,058</w:t>
            </w:r>
          </w:p>
        </w:tc>
      </w:tr>
      <w:tr w:rsidR="00C4204E" w:rsidRPr="00641860" w14:paraId="3598C6CD" w14:textId="77777777" w:rsidTr="00641860">
        <w:trPr>
          <w:trHeight w:val="60"/>
        </w:trPr>
        <w:tc>
          <w:tcPr>
            <w:tcW w:w="7471" w:type="dxa"/>
          </w:tcPr>
          <w:p w14:paraId="697D1F83" w14:textId="7FFACE0F" w:rsidR="00C4204E" w:rsidRPr="00641860" w:rsidRDefault="00C4204E" w:rsidP="00C4204E">
            <w:pPr>
              <w:pStyle w:val="TableText"/>
            </w:pPr>
            <w:r w:rsidRPr="00B16ACC">
              <w:t>Net Transfers out</w:t>
            </w:r>
          </w:p>
        </w:tc>
        <w:tc>
          <w:tcPr>
            <w:tcW w:w="1724" w:type="dxa"/>
          </w:tcPr>
          <w:p w14:paraId="002EDBBB" w14:textId="77777777" w:rsidR="00C4204E" w:rsidRPr="00641860" w:rsidRDefault="00C4204E" w:rsidP="00C4204E">
            <w:pPr>
              <w:pStyle w:val="TableTextRight"/>
            </w:pPr>
          </w:p>
        </w:tc>
        <w:tc>
          <w:tcPr>
            <w:tcW w:w="1724" w:type="dxa"/>
          </w:tcPr>
          <w:p w14:paraId="20B04112" w14:textId="77777777" w:rsidR="00C4204E" w:rsidRPr="00641860" w:rsidRDefault="00C4204E" w:rsidP="00C4204E">
            <w:pPr>
              <w:pStyle w:val="TableTextRight"/>
            </w:pPr>
          </w:p>
        </w:tc>
        <w:tc>
          <w:tcPr>
            <w:tcW w:w="1724" w:type="dxa"/>
          </w:tcPr>
          <w:p w14:paraId="24BD027E" w14:textId="77777777" w:rsidR="00C4204E" w:rsidRPr="00641860" w:rsidRDefault="00C4204E" w:rsidP="00C4204E">
            <w:pPr>
              <w:pStyle w:val="TableTextRight"/>
            </w:pPr>
          </w:p>
        </w:tc>
        <w:tc>
          <w:tcPr>
            <w:tcW w:w="1724" w:type="dxa"/>
          </w:tcPr>
          <w:p w14:paraId="0215716C" w14:textId="0A08C50F" w:rsidR="00C4204E" w:rsidRPr="00641860" w:rsidRDefault="00C4204E" w:rsidP="00C4204E">
            <w:pPr>
              <w:pStyle w:val="TableTextRight"/>
            </w:pPr>
            <w:r w:rsidRPr="00B16ACC">
              <w:t>13,000,000</w:t>
            </w:r>
          </w:p>
        </w:tc>
        <w:tc>
          <w:tcPr>
            <w:tcW w:w="1724" w:type="dxa"/>
          </w:tcPr>
          <w:p w14:paraId="0BACE0F4" w14:textId="77777777" w:rsidR="00C4204E" w:rsidRPr="00641860" w:rsidRDefault="00C4204E" w:rsidP="00C4204E">
            <w:pPr>
              <w:pStyle w:val="TableTextRight"/>
            </w:pPr>
          </w:p>
        </w:tc>
        <w:tc>
          <w:tcPr>
            <w:tcW w:w="1724" w:type="dxa"/>
          </w:tcPr>
          <w:p w14:paraId="023EA446" w14:textId="77777777" w:rsidR="00C4204E" w:rsidRPr="00641860" w:rsidRDefault="00C4204E" w:rsidP="00C4204E">
            <w:pPr>
              <w:pStyle w:val="TableTextRight"/>
            </w:pPr>
          </w:p>
        </w:tc>
        <w:tc>
          <w:tcPr>
            <w:tcW w:w="1724" w:type="dxa"/>
          </w:tcPr>
          <w:p w14:paraId="3830BB4E" w14:textId="7BEF5780" w:rsidR="00C4204E" w:rsidRPr="00641860" w:rsidRDefault="00C4204E" w:rsidP="00C4204E">
            <w:pPr>
              <w:pStyle w:val="TableTextRight"/>
            </w:pPr>
            <w:r w:rsidRPr="00B16ACC">
              <w:t>19,280,000</w:t>
            </w:r>
          </w:p>
        </w:tc>
        <w:tc>
          <w:tcPr>
            <w:tcW w:w="1724" w:type="dxa"/>
          </w:tcPr>
          <w:p w14:paraId="408E7E87" w14:textId="2745F68D" w:rsidR="00C4204E" w:rsidRPr="00641860" w:rsidRDefault="00C4204E" w:rsidP="00C4204E">
            <w:pPr>
              <w:pStyle w:val="TableTextRight"/>
            </w:pPr>
            <w:r w:rsidRPr="00B16ACC">
              <w:t>32,280,000</w:t>
            </w:r>
          </w:p>
        </w:tc>
      </w:tr>
      <w:tr w:rsidR="00C4204E" w:rsidRPr="00641860" w14:paraId="6A8B49C1" w14:textId="77777777" w:rsidTr="00641860">
        <w:trPr>
          <w:trHeight w:val="60"/>
        </w:trPr>
        <w:tc>
          <w:tcPr>
            <w:tcW w:w="7471" w:type="dxa"/>
          </w:tcPr>
          <w:p w14:paraId="410F846F" w14:textId="05FF45F7" w:rsidR="00C4204E" w:rsidRPr="00641860" w:rsidRDefault="00C4204E" w:rsidP="00C4204E">
            <w:pPr>
              <w:pStyle w:val="TableText"/>
            </w:pPr>
            <w:r w:rsidRPr="00B16ACC">
              <w:t>Outsourced contracted costs</w:t>
            </w:r>
          </w:p>
        </w:tc>
        <w:tc>
          <w:tcPr>
            <w:tcW w:w="1724" w:type="dxa"/>
          </w:tcPr>
          <w:p w14:paraId="0B5867A0" w14:textId="77777777" w:rsidR="00C4204E" w:rsidRPr="00641860" w:rsidRDefault="00C4204E" w:rsidP="00C4204E">
            <w:pPr>
              <w:pStyle w:val="TableTextRight"/>
            </w:pPr>
          </w:p>
        </w:tc>
        <w:tc>
          <w:tcPr>
            <w:tcW w:w="1724" w:type="dxa"/>
          </w:tcPr>
          <w:p w14:paraId="598C1BAC" w14:textId="77777777" w:rsidR="00C4204E" w:rsidRPr="00641860" w:rsidRDefault="00C4204E" w:rsidP="00C4204E">
            <w:pPr>
              <w:pStyle w:val="TableTextRight"/>
            </w:pPr>
          </w:p>
        </w:tc>
        <w:tc>
          <w:tcPr>
            <w:tcW w:w="1724" w:type="dxa"/>
          </w:tcPr>
          <w:p w14:paraId="6F0E7850" w14:textId="77777777" w:rsidR="00C4204E" w:rsidRPr="00641860" w:rsidRDefault="00C4204E" w:rsidP="00C4204E">
            <w:pPr>
              <w:pStyle w:val="TableTextRight"/>
            </w:pPr>
          </w:p>
        </w:tc>
        <w:tc>
          <w:tcPr>
            <w:tcW w:w="1724" w:type="dxa"/>
          </w:tcPr>
          <w:p w14:paraId="192A854F" w14:textId="0489C0F9" w:rsidR="00C4204E" w:rsidRPr="00641860" w:rsidRDefault="00C4204E" w:rsidP="00C4204E">
            <w:pPr>
              <w:pStyle w:val="TableTextRight"/>
            </w:pPr>
            <w:r w:rsidRPr="00B16ACC">
              <w:t>5,872,826</w:t>
            </w:r>
          </w:p>
        </w:tc>
        <w:tc>
          <w:tcPr>
            <w:tcW w:w="1724" w:type="dxa"/>
          </w:tcPr>
          <w:p w14:paraId="0F48DEED" w14:textId="77777777" w:rsidR="00C4204E" w:rsidRPr="00641860" w:rsidRDefault="00C4204E" w:rsidP="00C4204E">
            <w:pPr>
              <w:pStyle w:val="TableTextRight"/>
            </w:pPr>
          </w:p>
        </w:tc>
        <w:tc>
          <w:tcPr>
            <w:tcW w:w="1724" w:type="dxa"/>
          </w:tcPr>
          <w:p w14:paraId="799CD88D" w14:textId="77777777" w:rsidR="00C4204E" w:rsidRPr="00641860" w:rsidRDefault="00C4204E" w:rsidP="00C4204E">
            <w:pPr>
              <w:pStyle w:val="TableTextRight"/>
            </w:pPr>
          </w:p>
        </w:tc>
        <w:tc>
          <w:tcPr>
            <w:tcW w:w="1724" w:type="dxa"/>
          </w:tcPr>
          <w:p w14:paraId="112C8ABE" w14:textId="33BCB912" w:rsidR="00C4204E" w:rsidRPr="00641860" w:rsidRDefault="00C4204E" w:rsidP="00C4204E">
            <w:pPr>
              <w:pStyle w:val="TableTextRight"/>
            </w:pPr>
            <w:r w:rsidRPr="00B16ACC">
              <w:t>1,107,976</w:t>
            </w:r>
          </w:p>
        </w:tc>
        <w:tc>
          <w:tcPr>
            <w:tcW w:w="1724" w:type="dxa"/>
          </w:tcPr>
          <w:p w14:paraId="74D355B0" w14:textId="3620DC62" w:rsidR="00C4204E" w:rsidRPr="00641860" w:rsidRDefault="00C4204E" w:rsidP="00C4204E">
            <w:pPr>
              <w:pStyle w:val="TableTextRight"/>
            </w:pPr>
            <w:r w:rsidRPr="00B16ACC">
              <w:t>6,980,802</w:t>
            </w:r>
          </w:p>
        </w:tc>
      </w:tr>
      <w:tr w:rsidR="00C4204E" w:rsidRPr="00641860" w14:paraId="44072A4F" w14:textId="77777777" w:rsidTr="00641860">
        <w:trPr>
          <w:trHeight w:val="60"/>
        </w:trPr>
        <w:tc>
          <w:tcPr>
            <w:tcW w:w="7471" w:type="dxa"/>
            <w:shd w:val="clear" w:color="auto" w:fill="D3DBEE"/>
          </w:tcPr>
          <w:p w14:paraId="7C9964E0" w14:textId="6C8B7150" w:rsidR="00C4204E" w:rsidRPr="00641860" w:rsidRDefault="00C4204E" w:rsidP="00C4204E">
            <w:pPr>
              <w:pStyle w:val="TableTextBold"/>
            </w:pPr>
            <w:r w:rsidRPr="00B16ACC">
              <w:t>Total CAV Trust Funds Expenditure</w:t>
            </w:r>
          </w:p>
        </w:tc>
        <w:tc>
          <w:tcPr>
            <w:tcW w:w="1724" w:type="dxa"/>
            <w:shd w:val="clear" w:color="auto" w:fill="D3DBEE"/>
          </w:tcPr>
          <w:p w14:paraId="23BFD791" w14:textId="20DE8444" w:rsidR="00C4204E" w:rsidRPr="00641860" w:rsidRDefault="00C4204E" w:rsidP="00C4204E">
            <w:pPr>
              <w:pStyle w:val="TableTextRightBold"/>
            </w:pPr>
            <w:r w:rsidRPr="00B16ACC">
              <w:t>1,449,016</w:t>
            </w:r>
          </w:p>
        </w:tc>
        <w:tc>
          <w:tcPr>
            <w:tcW w:w="1724" w:type="dxa"/>
            <w:shd w:val="clear" w:color="auto" w:fill="D3DBEE"/>
          </w:tcPr>
          <w:p w14:paraId="11BDA8A0" w14:textId="6DD2E6F0" w:rsidR="00C4204E" w:rsidRPr="00641860" w:rsidRDefault="00C4204E" w:rsidP="00C4204E">
            <w:pPr>
              <w:pStyle w:val="TableTextRightBold"/>
            </w:pPr>
            <w:r w:rsidRPr="00B16ACC">
              <w:t>20,524,754</w:t>
            </w:r>
          </w:p>
        </w:tc>
        <w:tc>
          <w:tcPr>
            <w:tcW w:w="1724" w:type="dxa"/>
            <w:shd w:val="clear" w:color="auto" w:fill="D3DBEE"/>
          </w:tcPr>
          <w:p w14:paraId="33FAB886" w14:textId="447EF27E" w:rsidR="00C4204E" w:rsidRPr="00641860" w:rsidRDefault="00C4204E" w:rsidP="00C4204E">
            <w:pPr>
              <w:pStyle w:val="TableTextRightBold"/>
            </w:pPr>
            <w:r w:rsidRPr="00B16ACC">
              <w:t>2,228,937</w:t>
            </w:r>
          </w:p>
        </w:tc>
        <w:tc>
          <w:tcPr>
            <w:tcW w:w="1724" w:type="dxa"/>
            <w:shd w:val="clear" w:color="auto" w:fill="D3DBEE"/>
          </w:tcPr>
          <w:p w14:paraId="3485C193" w14:textId="39C069D6" w:rsidR="00C4204E" w:rsidRPr="00641860" w:rsidRDefault="00C4204E" w:rsidP="00C4204E">
            <w:pPr>
              <w:pStyle w:val="TableTextRightBold"/>
            </w:pPr>
            <w:r w:rsidRPr="00B16ACC">
              <w:t>25,954,838</w:t>
            </w:r>
          </w:p>
        </w:tc>
        <w:tc>
          <w:tcPr>
            <w:tcW w:w="1724" w:type="dxa"/>
            <w:shd w:val="clear" w:color="auto" w:fill="D3DBEE"/>
          </w:tcPr>
          <w:p w14:paraId="0A5FF687" w14:textId="627ACF76" w:rsidR="00C4204E" w:rsidRPr="00641860" w:rsidRDefault="00C4204E" w:rsidP="00C4204E">
            <w:pPr>
              <w:pStyle w:val="TableTextRightBold"/>
            </w:pPr>
            <w:r w:rsidRPr="00B16ACC">
              <w:t>38,612,136</w:t>
            </w:r>
          </w:p>
        </w:tc>
        <w:tc>
          <w:tcPr>
            <w:tcW w:w="1724" w:type="dxa"/>
            <w:shd w:val="clear" w:color="auto" w:fill="D3DBEE"/>
          </w:tcPr>
          <w:p w14:paraId="1E814F85" w14:textId="6FD95071" w:rsidR="00C4204E" w:rsidRPr="00641860" w:rsidRDefault="00C4204E" w:rsidP="00C4204E">
            <w:pPr>
              <w:pStyle w:val="TableTextRightBold"/>
            </w:pPr>
            <w:r w:rsidRPr="00B16ACC">
              <w:t>439,740</w:t>
            </w:r>
          </w:p>
        </w:tc>
        <w:tc>
          <w:tcPr>
            <w:tcW w:w="1724" w:type="dxa"/>
            <w:shd w:val="clear" w:color="auto" w:fill="D3DBEE"/>
          </w:tcPr>
          <w:p w14:paraId="61D456D0" w14:textId="58E6895C" w:rsidR="00C4204E" w:rsidRPr="00641860" w:rsidRDefault="00C4204E" w:rsidP="00C4204E">
            <w:pPr>
              <w:pStyle w:val="TableTextRightBold"/>
            </w:pPr>
            <w:r w:rsidRPr="00B16ACC">
              <w:t>51,573,145</w:t>
            </w:r>
          </w:p>
        </w:tc>
        <w:tc>
          <w:tcPr>
            <w:tcW w:w="1724" w:type="dxa"/>
            <w:shd w:val="clear" w:color="auto" w:fill="D3DBEE"/>
          </w:tcPr>
          <w:p w14:paraId="2A135DEE" w14:textId="226F7DBC" w:rsidR="00C4204E" w:rsidRPr="00641860" w:rsidRDefault="00C4204E" w:rsidP="00C4204E">
            <w:pPr>
              <w:pStyle w:val="TableTextRightBold"/>
            </w:pPr>
            <w:r w:rsidRPr="00B16ACC">
              <w:t>140,782,566</w:t>
            </w:r>
          </w:p>
        </w:tc>
      </w:tr>
      <w:tr w:rsidR="00C4204E" w:rsidRPr="00641860" w14:paraId="200EB88D" w14:textId="77777777" w:rsidTr="00641860">
        <w:trPr>
          <w:trHeight w:val="60"/>
        </w:trPr>
        <w:tc>
          <w:tcPr>
            <w:tcW w:w="7471" w:type="dxa"/>
          </w:tcPr>
          <w:p w14:paraId="61EEF10A" w14:textId="52EC8BAD" w:rsidR="00C4204E" w:rsidRPr="00641860" w:rsidRDefault="00C4204E" w:rsidP="00C4204E">
            <w:pPr>
              <w:pStyle w:val="TableTextBold"/>
            </w:pPr>
            <w:r w:rsidRPr="00B16ACC">
              <w:t>Trust Funds, opening equity 1 July 2023</w:t>
            </w:r>
            <w:r w:rsidRPr="00C4204E">
              <w:rPr>
                <w:rStyle w:val="FootnoteReference"/>
              </w:rPr>
              <w:footnoteReference w:id="18"/>
            </w:r>
          </w:p>
        </w:tc>
        <w:tc>
          <w:tcPr>
            <w:tcW w:w="1724" w:type="dxa"/>
          </w:tcPr>
          <w:p w14:paraId="26A1EC65" w14:textId="60850B56" w:rsidR="00C4204E" w:rsidRPr="00641860" w:rsidRDefault="00C4204E" w:rsidP="00C4204E">
            <w:pPr>
              <w:pStyle w:val="TableTextRightBold"/>
            </w:pPr>
            <w:r w:rsidRPr="00B16ACC">
              <w:t>2,619,951</w:t>
            </w:r>
          </w:p>
        </w:tc>
        <w:tc>
          <w:tcPr>
            <w:tcW w:w="1724" w:type="dxa"/>
          </w:tcPr>
          <w:p w14:paraId="2CF6976A" w14:textId="7FB55923" w:rsidR="00C4204E" w:rsidRPr="00641860" w:rsidRDefault="00C4204E" w:rsidP="00C4204E">
            <w:pPr>
              <w:pStyle w:val="TableTextRightBold"/>
            </w:pPr>
            <w:r w:rsidRPr="00B16ACC">
              <w:t>36,256,973</w:t>
            </w:r>
          </w:p>
        </w:tc>
        <w:tc>
          <w:tcPr>
            <w:tcW w:w="1724" w:type="dxa"/>
          </w:tcPr>
          <w:p w14:paraId="0B1B843E" w14:textId="34EE7230" w:rsidR="00C4204E" w:rsidRPr="00641860" w:rsidRDefault="00C4204E" w:rsidP="00C4204E">
            <w:pPr>
              <w:pStyle w:val="TableTextRightBold"/>
            </w:pPr>
            <w:r w:rsidRPr="00B16ACC">
              <w:t>9,982,930</w:t>
            </w:r>
          </w:p>
        </w:tc>
        <w:tc>
          <w:tcPr>
            <w:tcW w:w="1724" w:type="dxa"/>
          </w:tcPr>
          <w:p w14:paraId="39AD03FC" w14:textId="11C1FDB6" w:rsidR="00C4204E" w:rsidRPr="00641860" w:rsidRDefault="00C4204E" w:rsidP="00C4204E">
            <w:pPr>
              <w:pStyle w:val="TableTextRightBold"/>
            </w:pPr>
            <w:r w:rsidRPr="00B16ACC">
              <w:t>67,320,305</w:t>
            </w:r>
          </w:p>
        </w:tc>
        <w:tc>
          <w:tcPr>
            <w:tcW w:w="1724" w:type="dxa"/>
          </w:tcPr>
          <w:p w14:paraId="3D7E9CA2" w14:textId="53BD72A2" w:rsidR="00C4204E" w:rsidRPr="00641860" w:rsidRDefault="00C4204E" w:rsidP="00C4204E">
            <w:pPr>
              <w:pStyle w:val="TableTextRightBold"/>
            </w:pPr>
            <w:r w:rsidRPr="00B16ACC">
              <w:t>27,288,248</w:t>
            </w:r>
          </w:p>
        </w:tc>
        <w:tc>
          <w:tcPr>
            <w:tcW w:w="1724" w:type="dxa"/>
          </w:tcPr>
          <w:p w14:paraId="3D4BD4A2" w14:textId="23FF08FA" w:rsidR="00C4204E" w:rsidRPr="00641860" w:rsidRDefault="00C4204E" w:rsidP="00C4204E">
            <w:pPr>
              <w:pStyle w:val="TableTextRightBold"/>
            </w:pPr>
            <w:r w:rsidRPr="00B16ACC">
              <w:t>53,418</w:t>
            </w:r>
          </w:p>
        </w:tc>
        <w:tc>
          <w:tcPr>
            <w:tcW w:w="1724" w:type="dxa"/>
          </w:tcPr>
          <w:p w14:paraId="21292644" w14:textId="7547E189" w:rsidR="00C4204E" w:rsidRPr="00641860" w:rsidRDefault="00C4204E" w:rsidP="00C4204E">
            <w:pPr>
              <w:pStyle w:val="TableTextRightBold"/>
            </w:pPr>
            <w:r w:rsidRPr="00B16ACC">
              <w:t>185,256,045</w:t>
            </w:r>
          </w:p>
        </w:tc>
        <w:tc>
          <w:tcPr>
            <w:tcW w:w="1724" w:type="dxa"/>
          </w:tcPr>
          <w:p w14:paraId="42ADC942" w14:textId="71D505CB" w:rsidR="00C4204E" w:rsidRPr="00641860" w:rsidRDefault="00C4204E" w:rsidP="00C4204E">
            <w:pPr>
              <w:pStyle w:val="TableTextRightBold"/>
            </w:pPr>
            <w:r w:rsidRPr="00B16ACC">
              <w:t>328,777,869</w:t>
            </w:r>
          </w:p>
        </w:tc>
      </w:tr>
      <w:tr w:rsidR="00C4204E" w:rsidRPr="00641860" w14:paraId="1E3AF3B8" w14:textId="77777777" w:rsidTr="00641860">
        <w:trPr>
          <w:trHeight w:val="60"/>
        </w:trPr>
        <w:tc>
          <w:tcPr>
            <w:tcW w:w="7471" w:type="dxa"/>
          </w:tcPr>
          <w:p w14:paraId="6FCACF50" w14:textId="4A133BE3" w:rsidR="00C4204E" w:rsidRPr="00641860" w:rsidRDefault="00C4204E" w:rsidP="00C4204E">
            <w:pPr>
              <w:pStyle w:val="TableText"/>
            </w:pPr>
            <w:r w:rsidRPr="00B16ACC">
              <w:t>Current year operating surplus/(deficit)</w:t>
            </w:r>
          </w:p>
        </w:tc>
        <w:tc>
          <w:tcPr>
            <w:tcW w:w="1724" w:type="dxa"/>
          </w:tcPr>
          <w:p w14:paraId="528024F3" w14:textId="4F82291B" w:rsidR="00C4204E" w:rsidRPr="00641860" w:rsidRDefault="00C4204E" w:rsidP="00C4204E">
            <w:pPr>
              <w:pStyle w:val="TableTextRight"/>
            </w:pPr>
            <w:r w:rsidRPr="00B16ACC">
              <w:t>(1,345,361)</w:t>
            </w:r>
          </w:p>
        </w:tc>
        <w:tc>
          <w:tcPr>
            <w:tcW w:w="1724" w:type="dxa"/>
          </w:tcPr>
          <w:p w14:paraId="191665E8" w14:textId="0D008807" w:rsidR="00C4204E" w:rsidRPr="00641860" w:rsidRDefault="00C4204E" w:rsidP="00C4204E">
            <w:pPr>
              <w:pStyle w:val="TableTextRight"/>
            </w:pPr>
            <w:r w:rsidRPr="00B16ACC">
              <w:t>3,810,689</w:t>
            </w:r>
          </w:p>
        </w:tc>
        <w:tc>
          <w:tcPr>
            <w:tcW w:w="1724" w:type="dxa"/>
          </w:tcPr>
          <w:p w14:paraId="0B5030C7" w14:textId="01EDFB9F" w:rsidR="00C4204E" w:rsidRPr="00641860" w:rsidRDefault="00C4204E" w:rsidP="00C4204E">
            <w:pPr>
              <w:pStyle w:val="TableTextRight"/>
            </w:pPr>
            <w:r w:rsidRPr="00B16ACC">
              <w:t>2,359,925</w:t>
            </w:r>
          </w:p>
        </w:tc>
        <w:tc>
          <w:tcPr>
            <w:tcW w:w="1724" w:type="dxa"/>
          </w:tcPr>
          <w:p w14:paraId="1E6BFE50" w14:textId="0D95F630" w:rsidR="00C4204E" w:rsidRPr="00641860" w:rsidRDefault="00C4204E" w:rsidP="00C4204E">
            <w:pPr>
              <w:pStyle w:val="TableTextRight"/>
            </w:pPr>
            <w:r w:rsidRPr="00B16ACC">
              <w:t>40,198,289</w:t>
            </w:r>
          </w:p>
        </w:tc>
        <w:tc>
          <w:tcPr>
            <w:tcW w:w="1724" w:type="dxa"/>
          </w:tcPr>
          <w:p w14:paraId="3008097F" w14:textId="542753F1" w:rsidR="00C4204E" w:rsidRPr="00641860" w:rsidRDefault="00C4204E" w:rsidP="00C4204E">
            <w:pPr>
              <w:pStyle w:val="TableTextRight"/>
            </w:pPr>
            <w:r w:rsidRPr="00B16ACC">
              <w:t>(1,982,220)</w:t>
            </w:r>
          </w:p>
        </w:tc>
        <w:tc>
          <w:tcPr>
            <w:tcW w:w="1724" w:type="dxa"/>
          </w:tcPr>
          <w:p w14:paraId="3F611D16" w14:textId="49940A0B" w:rsidR="00C4204E" w:rsidRPr="00641860" w:rsidRDefault="00C4204E" w:rsidP="00C4204E">
            <w:pPr>
              <w:pStyle w:val="TableTextRight"/>
            </w:pPr>
            <w:r w:rsidRPr="00B16ACC">
              <w:t>6,407</w:t>
            </w:r>
          </w:p>
        </w:tc>
        <w:tc>
          <w:tcPr>
            <w:tcW w:w="1724" w:type="dxa"/>
          </w:tcPr>
          <w:p w14:paraId="0BA5A791" w14:textId="1B48132B" w:rsidR="00C4204E" w:rsidRPr="00641860" w:rsidRDefault="00C4204E" w:rsidP="00C4204E">
            <w:pPr>
              <w:pStyle w:val="TableTextRight"/>
            </w:pPr>
            <w:r w:rsidRPr="00B16ACC">
              <w:t>92,386,829</w:t>
            </w:r>
          </w:p>
        </w:tc>
        <w:tc>
          <w:tcPr>
            <w:tcW w:w="1724" w:type="dxa"/>
          </w:tcPr>
          <w:p w14:paraId="6D1A1F98" w14:textId="1A5FA762" w:rsidR="00C4204E" w:rsidRPr="00641860" w:rsidRDefault="00C4204E" w:rsidP="00C4204E">
            <w:pPr>
              <w:pStyle w:val="TableTextRight"/>
            </w:pPr>
            <w:r w:rsidRPr="00B16ACC">
              <w:t>135,434,558</w:t>
            </w:r>
          </w:p>
        </w:tc>
      </w:tr>
      <w:tr w:rsidR="00C4204E" w:rsidRPr="00934136" w14:paraId="4C18BC46" w14:textId="77777777" w:rsidTr="00641860">
        <w:trPr>
          <w:trHeight w:val="60"/>
        </w:trPr>
        <w:tc>
          <w:tcPr>
            <w:tcW w:w="7471" w:type="dxa"/>
          </w:tcPr>
          <w:p w14:paraId="56A4AA17" w14:textId="70C68AAF" w:rsidR="00C4204E" w:rsidRPr="00641860" w:rsidRDefault="00C4204E" w:rsidP="00C4204E">
            <w:pPr>
              <w:pStyle w:val="TableTextBold"/>
            </w:pPr>
            <w:r w:rsidRPr="00B16ACC">
              <w:t>Trust Funds, closing equity 30 June 2024</w:t>
            </w:r>
          </w:p>
        </w:tc>
        <w:tc>
          <w:tcPr>
            <w:tcW w:w="1724" w:type="dxa"/>
          </w:tcPr>
          <w:p w14:paraId="061E22CE" w14:textId="613D0C1C" w:rsidR="00C4204E" w:rsidRPr="00641860" w:rsidRDefault="00C4204E" w:rsidP="00C4204E">
            <w:pPr>
              <w:pStyle w:val="TableTextRightBold"/>
            </w:pPr>
            <w:r w:rsidRPr="00B16ACC">
              <w:t>1,274,590</w:t>
            </w:r>
          </w:p>
        </w:tc>
        <w:tc>
          <w:tcPr>
            <w:tcW w:w="1724" w:type="dxa"/>
          </w:tcPr>
          <w:p w14:paraId="4D29E245" w14:textId="5883193B" w:rsidR="00C4204E" w:rsidRPr="00641860" w:rsidRDefault="00C4204E" w:rsidP="00C4204E">
            <w:pPr>
              <w:pStyle w:val="TableTextRightBold"/>
            </w:pPr>
            <w:r w:rsidRPr="00B16ACC">
              <w:t>40,067,662</w:t>
            </w:r>
          </w:p>
        </w:tc>
        <w:tc>
          <w:tcPr>
            <w:tcW w:w="1724" w:type="dxa"/>
          </w:tcPr>
          <w:p w14:paraId="5ADA5C10" w14:textId="1E0ECA26" w:rsidR="00C4204E" w:rsidRPr="00641860" w:rsidRDefault="00C4204E" w:rsidP="00C4204E">
            <w:pPr>
              <w:pStyle w:val="TableTextRightBold"/>
            </w:pPr>
            <w:r w:rsidRPr="00B16ACC">
              <w:t>12,342,855</w:t>
            </w:r>
          </w:p>
        </w:tc>
        <w:tc>
          <w:tcPr>
            <w:tcW w:w="1724" w:type="dxa"/>
          </w:tcPr>
          <w:p w14:paraId="060ABA57" w14:textId="6A543ADB" w:rsidR="00C4204E" w:rsidRPr="00641860" w:rsidRDefault="00C4204E" w:rsidP="00C4204E">
            <w:pPr>
              <w:pStyle w:val="TableTextRightBold"/>
            </w:pPr>
            <w:r w:rsidRPr="00B16ACC">
              <w:t>107,518,594</w:t>
            </w:r>
          </w:p>
        </w:tc>
        <w:tc>
          <w:tcPr>
            <w:tcW w:w="1724" w:type="dxa"/>
          </w:tcPr>
          <w:p w14:paraId="649B5DFD" w14:textId="35B4E4F3" w:rsidR="00C4204E" w:rsidRPr="00641860" w:rsidRDefault="00C4204E" w:rsidP="00C4204E">
            <w:pPr>
              <w:pStyle w:val="TableTextRightBold"/>
            </w:pPr>
            <w:r w:rsidRPr="00B16ACC">
              <w:t>25,306,028</w:t>
            </w:r>
          </w:p>
        </w:tc>
        <w:tc>
          <w:tcPr>
            <w:tcW w:w="1724" w:type="dxa"/>
          </w:tcPr>
          <w:p w14:paraId="3771B091" w14:textId="1C172EDA" w:rsidR="00C4204E" w:rsidRPr="00641860" w:rsidRDefault="00C4204E" w:rsidP="00C4204E">
            <w:pPr>
              <w:pStyle w:val="TableTextRightBold"/>
            </w:pPr>
            <w:r w:rsidRPr="00B16ACC">
              <w:t>59,825</w:t>
            </w:r>
          </w:p>
        </w:tc>
        <w:tc>
          <w:tcPr>
            <w:tcW w:w="1724" w:type="dxa"/>
          </w:tcPr>
          <w:p w14:paraId="1F8F759B" w14:textId="384827E9" w:rsidR="00C4204E" w:rsidRPr="00641860" w:rsidRDefault="00C4204E" w:rsidP="00C4204E">
            <w:pPr>
              <w:pStyle w:val="TableTextRightBold"/>
            </w:pPr>
            <w:r w:rsidRPr="00B16ACC">
              <w:t>277,642,874</w:t>
            </w:r>
          </w:p>
        </w:tc>
        <w:tc>
          <w:tcPr>
            <w:tcW w:w="1724" w:type="dxa"/>
          </w:tcPr>
          <w:p w14:paraId="5D9F875C" w14:textId="1EA794E1" w:rsidR="00C4204E" w:rsidRPr="00641860" w:rsidRDefault="00C4204E" w:rsidP="00C4204E">
            <w:pPr>
              <w:pStyle w:val="TableTextRightBold"/>
            </w:pPr>
            <w:r w:rsidRPr="00B16ACC">
              <w:t>464,212,428</w:t>
            </w:r>
          </w:p>
        </w:tc>
      </w:tr>
    </w:tbl>
    <w:p w14:paraId="1429A297" w14:textId="77777777" w:rsidR="0006192A" w:rsidRPr="00C4204E" w:rsidRDefault="0006192A" w:rsidP="00C4204E">
      <w:pPr>
        <w:pStyle w:val="BodyText"/>
        <w:rPr>
          <w:highlight w:val="yellow"/>
        </w:rPr>
      </w:pPr>
    </w:p>
    <w:p w14:paraId="763A1A6F" w14:textId="77777777" w:rsidR="00F22B33" w:rsidRPr="00C4204E" w:rsidRDefault="00F22B33" w:rsidP="00C4204E">
      <w:pPr>
        <w:pStyle w:val="BodyText"/>
        <w:rPr>
          <w:highlight w:val="yellow"/>
        </w:rPr>
        <w:sectPr w:rsidR="00F22B33" w:rsidRPr="00C4204E" w:rsidSect="003C5B62">
          <w:footnotePr>
            <w:numRestart w:val="eachPage"/>
          </w:footnotePr>
          <w:pgSz w:w="23811" w:h="16838" w:orient="landscape" w:code="8"/>
          <w:pgMar w:top="1418" w:right="1418" w:bottom="1418" w:left="1134" w:header="510" w:footer="510" w:gutter="0"/>
          <w:cols w:space="708"/>
          <w:docGrid w:linePitch="360"/>
        </w:sectPr>
      </w:pPr>
    </w:p>
    <w:p w14:paraId="1600A030" w14:textId="77E72398" w:rsidR="00B556A3" w:rsidRPr="00934136" w:rsidRDefault="00B556A3" w:rsidP="00BA4037">
      <w:pPr>
        <w:pStyle w:val="Heading2"/>
      </w:pPr>
      <w:bookmarkStart w:id="12" w:name="_Toc181015738"/>
      <w:r w:rsidRPr="00934136">
        <w:lastRenderedPageBreak/>
        <w:t>Acts and regulations administered by CAV: passed, commenced, made and revoked in 2023–24</w:t>
      </w:r>
      <w:bookmarkEnd w:id="12"/>
    </w:p>
    <w:p w14:paraId="75818A8B" w14:textId="04978FEE" w:rsidR="00912E0E" w:rsidRPr="00912E0E" w:rsidRDefault="00912E0E" w:rsidP="00912E0E">
      <w:pPr>
        <w:pStyle w:val="Heading3"/>
      </w:pPr>
      <w:bookmarkStart w:id="13" w:name="_Toc181015739"/>
      <w:r>
        <w:t>Acts passed</w:t>
      </w:r>
      <w:bookmarkEnd w:id="13"/>
    </w:p>
    <w:tbl>
      <w:tblPr>
        <w:tblStyle w:val="TableGrid"/>
        <w:tblW w:w="9072" w:type="dxa"/>
        <w:tblLayout w:type="fixed"/>
        <w:tblLook w:val="06A0" w:firstRow="1" w:lastRow="0" w:firstColumn="1" w:lastColumn="0" w:noHBand="1" w:noVBand="1"/>
      </w:tblPr>
      <w:tblGrid>
        <w:gridCol w:w="6804"/>
        <w:gridCol w:w="2268"/>
      </w:tblGrid>
      <w:tr w:rsidR="00912E0E" w:rsidRPr="00912E0E" w14:paraId="40DE5FF0" w14:textId="77777777" w:rsidTr="00D65C51">
        <w:trPr>
          <w:cnfStyle w:val="100000000000" w:firstRow="1" w:lastRow="0" w:firstColumn="0" w:lastColumn="0" w:oddVBand="0" w:evenVBand="0" w:oddHBand="0" w:evenHBand="0" w:firstRowFirstColumn="0" w:firstRowLastColumn="0" w:lastRowFirstColumn="0" w:lastRowLastColumn="0"/>
          <w:trHeight w:val="283"/>
          <w:tblHeader/>
        </w:trPr>
        <w:tc>
          <w:tcPr>
            <w:tcW w:w="6804" w:type="dxa"/>
          </w:tcPr>
          <w:p w14:paraId="05ACE7DE" w14:textId="02CB919E" w:rsidR="00912E0E" w:rsidRPr="00912E0E" w:rsidRDefault="00912E0E" w:rsidP="00912E0E">
            <w:pPr>
              <w:pStyle w:val="TableColHead"/>
            </w:pPr>
            <w:r w:rsidRPr="00EE4F03">
              <w:t>Name</w:t>
            </w:r>
          </w:p>
        </w:tc>
        <w:tc>
          <w:tcPr>
            <w:tcW w:w="2268" w:type="dxa"/>
          </w:tcPr>
          <w:p w14:paraId="5547DC61" w14:textId="0A4D479F" w:rsidR="00912E0E" w:rsidRPr="00912E0E" w:rsidRDefault="00912E0E" w:rsidP="00912E0E">
            <w:pPr>
              <w:pStyle w:val="TableColHead"/>
            </w:pPr>
            <w:r w:rsidRPr="00EE4F03">
              <w:t>Date of Royal Assent</w:t>
            </w:r>
          </w:p>
        </w:tc>
      </w:tr>
      <w:tr w:rsidR="0063325E" w:rsidRPr="00912E0E" w14:paraId="4BDAE49D" w14:textId="77777777" w:rsidTr="00D65C51">
        <w:trPr>
          <w:trHeight w:val="283"/>
        </w:trPr>
        <w:tc>
          <w:tcPr>
            <w:tcW w:w="6804" w:type="dxa"/>
          </w:tcPr>
          <w:p w14:paraId="2E1346D7" w14:textId="50F56DC1" w:rsidR="0063325E" w:rsidRPr="0063325E" w:rsidRDefault="0063325E" w:rsidP="0063325E">
            <w:pPr>
              <w:pStyle w:val="TableText"/>
              <w:rPr>
                <w:rStyle w:val="Emphasis"/>
                <w:i w:val="0"/>
                <w:iCs w:val="0"/>
              </w:rPr>
            </w:pPr>
            <w:r w:rsidRPr="0063325E">
              <w:rPr>
                <w:i/>
                <w:iCs/>
              </w:rPr>
              <w:t>Building Legislation Amendment (Domestic Building Insurance New Offences) Act</w:t>
            </w:r>
            <w:r>
              <w:rPr>
                <w:i/>
                <w:iCs/>
              </w:rPr>
              <w:t> </w:t>
            </w:r>
            <w:r w:rsidRPr="0063325E">
              <w:rPr>
                <w:i/>
                <w:iCs/>
              </w:rPr>
              <w:t>2024</w:t>
            </w:r>
          </w:p>
        </w:tc>
        <w:tc>
          <w:tcPr>
            <w:tcW w:w="2268" w:type="dxa"/>
          </w:tcPr>
          <w:p w14:paraId="349178FA" w14:textId="37EC3A68" w:rsidR="0063325E" w:rsidRPr="00912E0E" w:rsidRDefault="0063325E" w:rsidP="0063325E">
            <w:pPr>
              <w:pStyle w:val="TableText"/>
            </w:pPr>
            <w:r w:rsidRPr="000A1BF1">
              <w:t>27 February 2024</w:t>
            </w:r>
          </w:p>
        </w:tc>
      </w:tr>
      <w:tr w:rsidR="0063325E" w:rsidRPr="00912E0E" w14:paraId="5469E3F3" w14:textId="77777777" w:rsidTr="00D65C51">
        <w:trPr>
          <w:trHeight w:val="283"/>
        </w:trPr>
        <w:tc>
          <w:tcPr>
            <w:tcW w:w="6804" w:type="dxa"/>
          </w:tcPr>
          <w:p w14:paraId="2781340D" w14:textId="406E97D5" w:rsidR="0063325E" w:rsidRPr="0063325E" w:rsidRDefault="0063325E" w:rsidP="0063325E">
            <w:pPr>
              <w:pStyle w:val="TableText"/>
              <w:rPr>
                <w:rStyle w:val="Emphasis"/>
                <w:i w:val="0"/>
                <w:iCs w:val="0"/>
              </w:rPr>
            </w:pPr>
            <w:r w:rsidRPr="0063325E">
              <w:rPr>
                <w:i/>
                <w:iCs/>
              </w:rPr>
              <w:t>Estate Agents, Residential Tenancies and Other Acts Amendment (Funding) Act</w:t>
            </w:r>
            <w:r>
              <w:rPr>
                <w:i/>
                <w:iCs/>
              </w:rPr>
              <w:t> </w:t>
            </w:r>
            <w:r w:rsidRPr="0063325E">
              <w:rPr>
                <w:i/>
                <w:iCs/>
              </w:rPr>
              <w:t>2024</w:t>
            </w:r>
          </w:p>
        </w:tc>
        <w:tc>
          <w:tcPr>
            <w:tcW w:w="2268" w:type="dxa"/>
          </w:tcPr>
          <w:p w14:paraId="22B6A879" w14:textId="15500D84" w:rsidR="0063325E" w:rsidRPr="00912E0E" w:rsidRDefault="0063325E" w:rsidP="0063325E">
            <w:pPr>
              <w:pStyle w:val="TableText"/>
            </w:pPr>
            <w:r w:rsidRPr="000A1BF1">
              <w:t>21 May 2024</w:t>
            </w:r>
          </w:p>
        </w:tc>
      </w:tr>
    </w:tbl>
    <w:p w14:paraId="30E2F06C" w14:textId="660B52F4" w:rsidR="00912E0E" w:rsidRPr="00912E0E" w:rsidRDefault="00912E0E" w:rsidP="00912E0E">
      <w:pPr>
        <w:pStyle w:val="Heading3"/>
      </w:pPr>
      <w:bookmarkStart w:id="14" w:name="_Toc181015740"/>
      <w:r>
        <w:t>Acts</w:t>
      </w:r>
      <w:r w:rsidRPr="00912E0E">
        <w:t xml:space="preserve"> commenced</w:t>
      </w:r>
      <w:bookmarkEnd w:id="14"/>
    </w:p>
    <w:tbl>
      <w:tblPr>
        <w:tblStyle w:val="TableGrid"/>
        <w:tblW w:w="9072" w:type="dxa"/>
        <w:tblLayout w:type="fixed"/>
        <w:tblLook w:val="06A0" w:firstRow="1" w:lastRow="0" w:firstColumn="1" w:lastColumn="0" w:noHBand="1" w:noVBand="1"/>
      </w:tblPr>
      <w:tblGrid>
        <w:gridCol w:w="6804"/>
        <w:gridCol w:w="2268"/>
      </w:tblGrid>
      <w:tr w:rsidR="00912E0E" w:rsidRPr="00912E0E" w14:paraId="72C85CD2" w14:textId="77777777" w:rsidTr="00D65C51">
        <w:trPr>
          <w:cnfStyle w:val="100000000000" w:firstRow="1" w:lastRow="0" w:firstColumn="0" w:lastColumn="0" w:oddVBand="0" w:evenVBand="0" w:oddHBand="0" w:evenHBand="0" w:firstRowFirstColumn="0" w:firstRowLastColumn="0" w:lastRowFirstColumn="0" w:lastRowLastColumn="0"/>
          <w:trHeight w:val="283"/>
          <w:tblHeader/>
        </w:trPr>
        <w:tc>
          <w:tcPr>
            <w:tcW w:w="6804" w:type="dxa"/>
          </w:tcPr>
          <w:p w14:paraId="0D2E35A1" w14:textId="77777777" w:rsidR="00912E0E" w:rsidRPr="00912E0E" w:rsidRDefault="00912E0E" w:rsidP="00D65C51">
            <w:pPr>
              <w:pStyle w:val="TableColHead"/>
            </w:pPr>
            <w:r w:rsidRPr="00912E0E">
              <w:t>Name</w:t>
            </w:r>
          </w:p>
        </w:tc>
        <w:tc>
          <w:tcPr>
            <w:tcW w:w="2268" w:type="dxa"/>
          </w:tcPr>
          <w:p w14:paraId="40CC2586" w14:textId="77777777" w:rsidR="00912E0E" w:rsidRPr="00912E0E" w:rsidRDefault="00912E0E" w:rsidP="00D65C51">
            <w:pPr>
              <w:pStyle w:val="TableColHead"/>
            </w:pPr>
            <w:r w:rsidRPr="00912E0E">
              <w:t>Date commenced</w:t>
            </w:r>
          </w:p>
        </w:tc>
      </w:tr>
      <w:tr w:rsidR="00912E0E" w:rsidRPr="00912E0E" w14:paraId="1EA079A4" w14:textId="77777777" w:rsidTr="00D65C51">
        <w:trPr>
          <w:trHeight w:val="283"/>
        </w:trPr>
        <w:tc>
          <w:tcPr>
            <w:tcW w:w="6804" w:type="dxa"/>
          </w:tcPr>
          <w:p w14:paraId="0B9DC7A6" w14:textId="65FF8A69" w:rsidR="00912E0E" w:rsidRPr="00912E0E" w:rsidRDefault="00912E0E" w:rsidP="00912E0E">
            <w:pPr>
              <w:pStyle w:val="TableText"/>
              <w:rPr>
                <w:rStyle w:val="Emphasis"/>
              </w:rPr>
            </w:pPr>
            <w:r w:rsidRPr="00912E0E">
              <w:rPr>
                <w:rStyle w:val="Emphasis"/>
              </w:rPr>
              <w:t>Building Legislation Amendment (Domestic Building Insurance New Offences) Act</w:t>
            </w:r>
            <w:r>
              <w:rPr>
                <w:rStyle w:val="Emphasis"/>
              </w:rPr>
              <w:t> </w:t>
            </w:r>
            <w:r w:rsidRPr="00912E0E">
              <w:rPr>
                <w:rStyle w:val="Emphasis"/>
              </w:rPr>
              <w:t>2024</w:t>
            </w:r>
          </w:p>
        </w:tc>
        <w:tc>
          <w:tcPr>
            <w:tcW w:w="2268" w:type="dxa"/>
          </w:tcPr>
          <w:p w14:paraId="3F00D963" w14:textId="2565BBA7" w:rsidR="00912E0E" w:rsidRPr="00912E0E" w:rsidRDefault="00912E0E" w:rsidP="00912E0E">
            <w:pPr>
              <w:pStyle w:val="TableText"/>
            </w:pPr>
            <w:r w:rsidRPr="00934136">
              <w:t>28 February 2024</w:t>
            </w:r>
          </w:p>
        </w:tc>
      </w:tr>
      <w:tr w:rsidR="00912E0E" w:rsidRPr="00912E0E" w14:paraId="0970156A" w14:textId="77777777" w:rsidTr="00D65C51">
        <w:trPr>
          <w:trHeight w:val="283"/>
        </w:trPr>
        <w:tc>
          <w:tcPr>
            <w:tcW w:w="6804" w:type="dxa"/>
          </w:tcPr>
          <w:p w14:paraId="0D6757C8" w14:textId="69F570A9" w:rsidR="00912E0E" w:rsidRPr="00912E0E" w:rsidRDefault="00912E0E" w:rsidP="00912E0E">
            <w:pPr>
              <w:pStyle w:val="TableText"/>
              <w:rPr>
                <w:rStyle w:val="Emphasis"/>
              </w:rPr>
            </w:pPr>
            <w:r w:rsidRPr="00912E0E">
              <w:rPr>
                <w:rStyle w:val="Emphasis"/>
              </w:rPr>
              <w:t>Estate Agents, Residential Tenancies and Other Acts Amendment (Funding) Act</w:t>
            </w:r>
            <w:r>
              <w:rPr>
                <w:rStyle w:val="Emphasis"/>
              </w:rPr>
              <w:t> </w:t>
            </w:r>
            <w:r w:rsidRPr="00912E0E">
              <w:rPr>
                <w:rStyle w:val="Emphasis"/>
              </w:rPr>
              <w:t>2024</w:t>
            </w:r>
          </w:p>
        </w:tc>
        <w:tc>
          <w:tcPr>
            <w:tcW w:w="2268" w:type="dxa"/>
          </w:tcPr>
          <w:p w14:paraId="68614176" w14:textId="07EFFB0F" w:rsidR="00912E0E" w:rsidRDefault="00912E0E" w:rsidP="00912E0E">
            <w:pPr>
              <w:pStyle w:val="TableText"/>
            </w:pPr>
            <w:r w:rsidRPr="00934136">
              <w:t xml:space="preserve">Sections 1–6 </w:t>
            </w:r>
            <w:r>
              <w:br/>
            </w:r>
            <w:r w:rsidRPr="00934136">
              <w:t>on 22 May 2024</w:t>
            </w:r>
          </w:p>
          <w:p w14:paraId="509F46E8" w14:textId="1C7F2500" w:rsidR="00912E0E" w:rsidRPr="00912E0E" w:rsidRDefault="00912E0E" w:rsidP="00912E0E">
            <w:pPr>
              <w:pStyle w:val="TableText"/>
            </w:pPr>
            <w:r w:rsidRPr="00934136">
              <w:t xml:space="preserve">Sections 7–18 </w:t>
            </w:r>
            <w:r>
              <w:br/>
            </w:r>
            <w:r w:rsidRPr="00934136">
              <w:t>on 30 June 2024</w:t>
            </w:r>
          </w:p>
        </w:tc>
      </w:tr>
    </w:tbl>
    <w:p w14:paraId="1AF6FEC4" w14:textId="63DAC106" w:rsidR="00912E0E" w:rsidRPr="00912E0E" w:rsidRDefault="00912E0E" w:rsidP="00912E0E">
      <w:pPr>
        <w:pStyle w:val="Heading3"/>
      </w:pPr>
      <w:bookmarkStart w:id="15" w:name="_Toc181015741"/>
      <w:r>
        <w:t>Acts</w:t>
      </w:r>
      <w:r w:rsidRPr="00912E0E">
        <w:t xml:space="preserve"> revoked</w:t>
      </w:r>
      <w:bookmarkEnd w:id="15"/>
    </w:p>
    <w:tbl>
      <w:tblPr>
        <w:tblStyle w:val="TableGrid"/>
        <w:tblW w:w="9072" w:type="dxa"/>
        <w:tblLayout w:type="fixed"/>
        <w:tblLook w:val="06A0" w:firstRow="1" w:lastRow="0" w:firstColumn="1" w:lastColumn="0" w:noHBand="1" w:noVBand="1"/>
      </w:tblPr>
      <w:tblGrid>
        <w:gridCol w:w="6804"/>
        <w:gridCol w:w="2268"/>
      </w:tblGrid>
      <w:tr w:rsidR="00912E0E" w:rsidRPr="00912E0E" w14:paraId="15F67F6B" w14:textId="77777777" w:rsidTr="00D65C51">
        <w:trPr>
          <w:cnfStyle w:val="100000000000" w:firstRow="1" w:lastRow="0" w:firstColumn="0" w:lastColumn="0" w:oddVBand="0" w:evenVBand="0" w:oddHBand="0" w:evenHBand="0" w:firstRowFirstColumn="0" w:firstRowLastColumn="0" w:lastRowFirstColumn="0" w:lastRowLastColumn="0"/>
          <w:trHeight w:val="283"/>
          <w:tblHeader/>
        </w:trPr>
        <w:tc>
          <w:tcPr>
            <w:tcW w:w="6804" w:type="dxa"/>
          </w:tcPr>
          <w:p w14:paraId="10985A1B" w14:textId="77777777" w:rsidR="00912E0E" w:rsidRPr="00912E0E" w:rsidRDefault="00912E0E" w:rsidP="00D65C51">
            <w:pPr>
              <w:pStyle w:val="TableColHead"/>
            </w:pPr>
            <w:r w:rsidRPr="00912E0E">
              <w:t>Name</w:t>
            </w:r>
          </w:p>
        </w:tc>
        <w:tc>
          <w:tcPr>
            <w:tcW w:w="2268" w:type="dxa"/>
          </w:tcPr>
          <w:p w14:paraId="3FC57A6D" w14:textId="77777777" w:rsidR="00912E0E" w:rsidRPr="00912E0E" w:rsidRDefault="00912E0E" w:rsidP="00D65C51">
            <w:pPr>
              <w:pStyle w:val="TableColHead"/>
            </w:pPr>
            <w:r w:rsidRPr="00912E0E">
              <w:t>Date revoked</w:t>
            </w:r>
          </w:p>
        </w:tc>
      </w:tr>
      <w:tr w:rsidR="00912E0E" w:rsidRPr="00912E0E" w14:paraId="6F60CD4F" w14:textId="77777777" w:rsidTr="00D65C51">
        <w:trPr>
          <w:trHeight w:val="283"/>
        </w:trPr>
        <w:tc>
          <w:tcPr>
            <w:tcW w:w="6804" w:type="dxa"/>
          </w:tcPr>
          <w:p w14:paraId="2C82DADA" w14:textId="44B49391" w:rsidR="00912E0E" w:rsidRPr="00912E0E" w:rsidRDefault="00912E0E" w:rsidP="00912E0E">
            <w:pPr>
              <w:pStyle w:val="TableText"/>
              <w:rPr>
                <w:rStyle w:val="Emphasis"/>
              </w:rPr>
            </w:pPr>
            <w:r w:rsidRPr="00912E0E">
              <w:rPr>
                <w:rStyle w:val="Emphasis"/>
              </w:rPr>
              <w:t>Sex Work Act 1994</w:t>
            </w:r>
          </w:p>
        </w:tc>
        <w:tc>
          <w:tcPr>
            <w:tcW w:w="2268" w:type="dxa"/>
          </w:tcPr>
          <w:p w14:paraId="3312B2C4" w14:textId="0A890B03" w:rsidR="00912E0E" w:rsidRPr="00912E0E" w:rsidRDefault="00912E0E" w:rsidP="00912E0E">
            <w:pPr>
              <w:pStyle w:val="TableText"/>
            </w:pPr>
            <w:r w:rsidRPr="00421B7B">
              <w:t>1 December 2023</w:t>
            </w:r>
          </w:p>
        </w:tc>
      </w:tr>
    </w:tbl>
    <w:p w14:paraId="6F2F218D" w14:textId="77777777" w:rsidR="00124014" w:rsidRPr="00912E0E" w:rsidRDefault="00124014" w:rsidP="00124014">
      <w:pPr>
        <w:pStyle w:val="Heading3"/>
      </w:pPr>
      <w:bookmarkStart w:id="16" w:name="_Toc181015742"/>
      <w:r w:rsidRPr="00912E0E">
        <w:t>Regulations made</w:t>
      </w:r>
      <w:bookmarkEnd w:id="16"/>
    </w:p>
    <w:tbl>
      <w:tblPr>
        <w:tblStyle w:val="TableGrid"/>
        <w:tblW w:w="9072" w:type="dxa"/>
        <w:tblLayout w:type="fixed"/>
        <w:tblLook w:val="06A0" w:firstRow="1" w:lastRow="0" w:firstColumn="1" w:lastColumn="0" w:noHBand="1" w:noVBand="1"/>
      </w:tblPr>
      <w:tblGrid>
        <w:gridCol w:w="6804"/>
        <w:gridCol w:w="2268"/>
      </w:tblGrid>
      <w:tr w:rsidR="00124014" w:rsidRPr="00912E0E" w14:paraId="482D36DC" w14:textId="77777777" w:rsidTr="00344571">
        <w:trPr>
          <w:cnfStyle w:val="100000000000" w:firstRow="1" w:lastRow="0" w:firstColumn="0" w:lastColumn="0" w:oddVBand="0" w:evenVBand="0" w:oddHBand="0" w:evenHBand="0" w:firstRowFirstColumn="0" w:firstRowLastColumn="0" w:lastRowFirstColumn="0" w:lastRowLastColumn="0"/>
          <w:trHeight w:val="283"/>
          <w:tblHeader/>
        </w:trPr>
        <w:tc>
          <w:tcPr>
            <w:tcW w:w="6804" w:type="dxa"/>
          </w:tcPr>
          <w:p w14:paraId="7E27077E" w14:textId="77777777" w:rsidR="00124014" w:rsidRPr="00912E0E" w:rsidRDefault="00124014" w:rsidP="00344571">
            <w:pPr>
              <w:pStyle w:val="TableColHead"/>
            </w:pPr>
            <w:r w:rsidRPr="00912E0E">
              <w:t>Name</w:t>
            </w:r>
          </w:p>
        </w:tc>
        <w:tc>
          <w:tcPr>
            <w:tcW w:w="2268" w:type="dxa"/>
          </w:tcPr>
          <w:p w14:paraId="3A5774EB" w14:textId="77777777" w:rsidR="00124014" w:rsidRPr="00912E0E" w:rsidRDefault="00124014" w:rsidP="00344571">
            <w:pPr>
              <w:pStyle w:val="TableColHead"/>
            </w:pPr>
            <w:r w:rsidRPr="00912E0E">
              <w:t>Date made</w:t>
            </w:r>
          </w:p>
        </w:tc>
      </w:tr>
      <w:tr w:rsidR="00912E0E" w:rsidRPr="00912E0E" w14:paraId="3CB25A1E" w14:textId="77777777" w:rsidTr="00344571">
        <w:trPr>
          <w:trHeight w:val="283"/>
        </w:trPr>
        <w:tc>
          <w:tcPr>
            <w:tcW w:w="6804" w:type="dxa"/>
          </w:tcPr>
          <w:p w14:paraId="099E6773" w14:textId="00E695B0" w:rsidR="00912E0E" w:rsidRPr="00912E0E" w:rsidRDefault="00912E0E" w:rsidP="00912E0E">
            <w:pPr>
              <w:pStyle w:val="TableText"/>
            </w:pPr>
            <w:r w:rsidRPr="003A0F9C">
              <w:t>Associations Incorporation Reform Regulations 2023</w:t>
            </w:r>
          </w:p>
        </w:tc>
        <w:tc>
          <w:tcPr>
            <w:tcW w:w="2268" w:type="dxa"/>
          </w:tcPr>
          <w:p w14:paraId="1CF34BDF" w14:textId="6157B63D" w:rsidR="00912E0E" w:rsidRPr="00912E0E" w:rsidRDefault="00912E0E" w:rsidP="00912E0E">
            <w:pPr>
              <w:pStyle w:val="TableText"/>
            </w:pPr>
            <w:r w:rsidRPr="003A0F9C">
              <w:t>14 November 2023</w:t>
            </w:r>
          </w:p>
        </w:tc>
      </w:tr>
      <w:tr w:rsidR="00912E0E" w:rsidRPr="00912E0E" w14:paraId="344F9DEB" w14:textId="77777777" w:rsidTr="00344571">
        <w:trPr>
          <w:trHeight w:val="283"/>
        </w:trPr>
        <w:tc>
          <w:tcPr>
            <w:tcW w:w="6804" w:type="dxa"/>
          </w:tcPr>
          <w:p w14:paraId="2137FBE7" w14:textId="32DE00D3" w:rsidR="00912E0E" w:rsidRPr="00912E0E" w:rsidRDefault="00912E0E" w:rsidP="00912E0E">
            <w:pPr>
              <w:pStyle w:val="TableText"/>
            </w:pPr>
            <w:r w:rsidRPr="003A0F9C">
              <w:t>Co-operatives National Law (Victoria) Local Regulations 2024</w:t>
            </w:r>
          </w:p>
        </w:tc>
        <w:tc>
          <w:tcPr>
            <w:tcW w:w="2268" w:type="dxa"/>
          </w:tcPr>
          <w:p w14:paraId="7BC79FEF" w14:textId="688DE0A7" w:rsidR="00912E0E" w:rsidRPr="00912E0E" w:rsidRDefault="00912E0E" w:rsidP="00912E0E">
            <w:pPr>
              <w:pStyle w:val="TableText"/>
            </w:pPr>
            <w:r w:rsidRPr="003A0F9C">
              <w:t>13 February 2024</w:t>
            </w:r>
          </w:p>
        </w:tc>
      </w:tr>
      <w:tr w:rsidR="00912E0E" w:rsidRPr="00912E0E" w14:paraId="7EC55C8A" w14:textId="77777777" w:rsidTr="00344571">
        <w:trPr>
          <w:trHeight w:val="283"/>
        </w:trPr>
        <w:tc>
          <w:tcPr>
            <w:tcW w:w="6804" w:type="dxa"/>
          </w:tcPr>
          <w:p w14:paraId="6D6A1137" w14:textId="1062A4D0" w:rsidR="00912E0E" w:rsidRPr="00912E0E" w:rsidRDefault="00912E0E" w:rsidP="00912E0E">
            <w:pPr>
              <w:pStyle w:val="TableText"/>
            </w:pPr>
            <w:r w:rsidRPr="003A0F9C">
              <w:t>Sale of Land (Public Auctions) Regulations 2024</w:t>
            </w:r>
          </w:p>
        </w:tc>
        <w:tc>
          <w:tcPr>
            <w:tcW w:w="2268" w:type="dxa"/>
          </w:tcPr>
          <w:p w14:paraId="19236AD0" w14:textId="07D32D00" w:rsidR="00912E0E" w:rsidRPr="00912E0E" w:rsidRDefault="00912E0E" w:rsidP="00912E0E">
            <w:pPr>
              <w:pStyle w:val="TableText"/>
            </w:pPr>
            <w:r w:rsidRPr="003A0F9C">
              <w:t>18 June 2024</w:t>
            </w:r>
          </w:p>
        </w:tc>
      </w:tr>
    </w:tbl>
    <w:p w14:paraId="747C1610" w14:textId="77777777" w:rsidR="00124014" w:rsidRPr="00912E0E" w:rsidRDefault="00124014" w:rsidP="00124014">
      <w:pPr>
        <w:pStyle w:val="Heading3"/>
      </w:pPr>
      <w:bookmarkStart w:id="17" w:name="_Toc181015743"/>
      <w:r w:rsidRPr="00912E0E">
        <w:t>Regulations commenced</w:t>
      </w:r>
      <w:bookmarkEnd w:id="17"/>
    </w:p>
    <w:tbl>
      <w:tblPr>
        <w:tblStyle w:val="TableGrid"/>
        <w:tblW w:w="9072" w:type="dxa"/>
        <w:tblLayout w:type="fixed"/>
        <w:tblLook w:val="06A0" w:firstRow="1" w:lastRow="0" w:firstColumn="1" w:lastColumn="0" w:noHBand="1" w:noVBand="1"/>
      </w:tblPr>
      <w:tblGrid>
        <w:gridCol w:w="6804"/>
        <w:gridCol w:w="2268"/>
      </w:tblGrid>
      <w:tr w:rsidR="00124014" w:rsidRPr="00912E0E" w14:paraId="6EA0C75F" w14:textId="77777777" w:rsidTr="00344571">
        <w:trPr>
          <w:cnfStyle w:val="100000000000" w:firstRow="1" w:lastRow="0" w:firstColumn="0" w:lastColumn="0" w:oddVBand="0" w:evenVBand="0" w:oddHBand="0" w:evenHBand="0" w:firstRowFirstColumn="0" w:firstRowLastColumn="0" w:lastRowFirstColumn="0" w:lastRowLastColumn="0"/>
          <w:trHeight w:val="283"/>
          <w:tblHeader/>
        </w:trPr>
        <w:tc>
          <w:tcPr>
            <w:tcW w:w="6804" w:type="dxa"/>
          </w:tcPr>
          <w:p w14:paraId="57674E6F" w14:textId="77777777" w:rsidR="00124014" w:rsidRPr="00912E0E" w:rsidRDefault="00124014" w:rsidP="00344571">
            <w:pPr>
              <w:pStyle w:val="TableColHead"/>
            </w:pPr>
            <w:r w:rsidRPr="00912E0E">
              <w:t>Name</w:t>
            </w:r>
          </w:p>
        </w:tc>
        <w:tc>
          <w:tcPr>
            <w:tcW w:w="2268" w:type="dxa"/>
          </w:tcPr>
          <w:p w14:paraId="3138E472" w14:textId="77777777" w:rsidR="00124014" w:rsidRPr="00912E0E" w:rsidRDefault="00124014" w:rsidP="00344571">
            <w:pPr>
              <w:pStyle w:val="TableColHead"/>
            </w:pPr>
            <w:r w:rsidRPr="00912E0E">
              <w:t>Date commenced</w:t>
            </w:r>
          </w:p>
        </w:tc>
      </w:tr>
      <w:tr w:rsidR="00912E0E" w:rsidRPr="00912E0E" w14:paraId="47D6EEE4" w14:textId="77777777" w:rsidTr="00344571">
        <w:trPr>
          <w:trHeight w:val="283"/>
        </w:trPr>
        <w:tc>
          <w:tcPr>
            <w:tcW w:w="6804" w:type="dxa"/>
          </w:tcPr>
          <w:p w14:paraId="290D7F2D" w14:textId="1715009D" w:rsidR="00912E0E" w:rsidRPr="00912E0E" w:rsidRDefault="00912E0E" w:rsidP="00912E0E">
            <w:pPr>
              <w:pStyle w:val="TableText"/>
            </w:pPr>
            <w:r w:rsidRPr="00CA36C8">
              <w:t>Associations Incorporation Reform Regulations 2023</w:t>
            </w:r>
          </w:p>
        </w:tc>
        <w:tc>
          <w:tcPr>
            <w:tcW w:w="2268" w:type="dxa"/>
          </w:tcPr>
          <w:p w14:paraId="05D497F9" w14:textId="7C5377DD" w:rsidR="00912E0E" w:rsidRPr="00912E0E" w:rsidRDefault="00912E0E" w:rsidP="00912E0E">
            <w:pPr>
              <w:pStyle w:val="TableText"/>
            </w:pPr>
            <w:r w:rsidRPr="00CA36C8">
              <w:t>18 November 2023</w:t>
            </w:r>
          </w:p>
        </w:tc>
      </w:tr>
      <w:tr w:rsidR="00912E0E" w:rsidRPr="00912E0E" w14:paraId="4D060975" w14:textId="77777777" w:rsidTr="00344571">
        <w:trPr>
          <w:trHeight w:val="283"/>
        </w:trPr>
        <w:tc>
          <w:tcPr>
            <w:tcW w:w="6804" w:type="dxa"/>
          </w:tcPr>
          <w:p w14:paraId="1B978CF4" w14:textId="5A58AF54" w:rsidR="00912E0E" w:rsidRPr="00912E0E" w:rsidRDefault="00912E0E" w:rsidP="00912E0E">
            <w:pPr>
              <w:pStyle w:val="TableText"/>
            </w:pPr>
            <w:r w:rsidRPr="00CA36C8">
              <w:t>Co-operatives National Law (Victoria) Local Regulations 2024</w:t>
            </w:r>
          </w:p>
        </w:tc>
        <w:tc>
          <w:tcPr>
            <w:tcW w:w="2268" w:type="dxa"/>
          </w:tcPr>
          <w:p w14:paraId="2007243D" w14:textId="362B1072" w:rsidR="00912E0E" w:rsidRPr="00912E0E" w:rsidRDefault="00912E0E" w:rsidP="00912E0E">
            <w:pPr>
              <w:pStyle w:val="TableText"/>
            </w:pPr>
            <w:r w:rsidRPr="00CA36C8">
              <w:t>17 February 2024</w:t>
            </w:r>
          </w:p>
        </w:tc>
      </w:tr>
      <w:tr w:rsidR="00912E0E" w:rsidRPr="00912E0E" w14:paraId="735FDE8F" w14:textId="77777777" w:rsidTr="00344571">
        <w:trPr>
          <w:trHeight w:val="283"/>
        </w:trPr>
        <w:tc>
          <w:tcPr>
            <w:tcW w:w="6804" w:type="dxa"/>
          </w:tcPr>
          <w:p w14:paraId="7BA5AA69" w14:textId="252A7F2A" w:rsidR="00912E0E" w:rsidRPr="00912E0E" w:rsidRDefault="00912E0E" w:rsidP="00912E0E">
            <w:pPr>
              <w:pStyle w:val="TableText"/>
            </w:pPr>
            <w:r w:rsidRPr="00CA36C8">
              <w:t>Sale of Land (Public Auctions) Regulations 2024</w:t>
            </w:r>
          </w:p>
        </w:tc>
        <w:tc>
          <w:tcPr>
            <w:tcW w:w="2268" w:type="dxa"/>
          </w:tcPr>
          <w:p w14:paraId="1D878757" w14:textId="13680983" w:rsidR="00912E0E" w:rsidRPr="00912E0E" w:rsidRDefault="00912E0E" w:rsidP="00912E0E">
            <w:pPr>
              <w:pStyle w:val="TableText"/>
            </w:pPr>
            <w:r w:rsidRPr="00CA36C8">
              <w:t>23 June 2024</w:t>
            </w:r>
          </w:p>
        </w:tc>
      </w:tr>
    </w:tbl>
    <w:p w14:paraId="0EF7A492" w14:textId="77777777" w:rsidR="00912E0E" w:rsidRPr="00912E0E" w:rsidRDefault="00912E0E" w:rsidP="00912E0E">
      <w:pPr>
        <w:pStyle w:val="BodyText"/>
      </w:pPr>
      <w:r w:rsidRPr="00912E0E">
        <w:br w:type="page"/>
      </w:r>
    </w:p>
    <w:p w14:paraId="3FE9F881" w14:textId="14F4D0B6" w:rsidR="00124014" w:rsidRPr="00912E0E" w:rsidRDefault="00124014" w:rsidP="00124014">
      <w:pPr>
        <w:pStyle w:val="Heading3"/>
      </w:pPr>
      <w:bookmarkStart w:id="18" w:name="_Toc181015744"/>
      <w:r w:rsidRPr="00912E0E">
        <w:t>Regulations revoked</w:t>
      </w:r>
      <w:bookmarkEnd w:id="18"/>
    </w:p>
    <w:tbl>
      <w:tblPr>
        <w:tblStyle w:val="TableGrid"/>
        <w:tblW w:w="9072" w:type="dxa"/>
        <w:tblLayout w:type="fixed"/>
        <w:tblLook w:val="06A0" w:firstRow="1" w:lastRow="0" w:firstColumn="1" w:lastColumn="0" w:noHBand="1" w:noVBand="1"/>
      </w:tblPr>
      <w:tblGrid>
        <w:gridCol w:w="6804"/>
        <w:gridCol w:w="2268"/>
      </w:tblGrid>
      <w:tr w:rsidR="00124014" w:rsidRPr="00912E0E" w14:paraId="01305154" w14:textId="77777777" w:rsidTr="00344571">
        <w:trPr>
          <w:cnfStyle w:val="100000000000" w:firstRow="1" w:lastRow="0" w:firstColumn="0" w:lastColumn="0" w:oddVBand="0" w:evenVBand="0" w:oddHBand="0" w:evenHBand="0" w:firstRowFirstColumn="0" w:firstRowLastColumn="0" w:lastRowFirstColumn="0" w:lastRowLastColumn="0"/>
          <w:trHeight w:val="283"/>
          <w:tblHeader/>
        </w:trPr>
        <w:tc>
          <w:tcPr>
            <w:tcW w:w="6804" w:type="dxa"/>
          </w:tcPr>
          <w:p w14:paraId="0DEF3DB7" w14:textId="77777777" w:rsidR="00124014" w:rsidRPr="00912E0E" w:rsidRDefault="00124014" w:rsidP="00344571">
            <w:pPr>
              <w:pStyle w:val="TableColHead"/>
            </w:pPr>
            <w:r w:rsidRPr="00912E0E">
              <w:t>Name</w:t>
            </w:r>
          </w:p>
        </w:tc>
        <w:tc>
          <w:tcPr>
            <w:tcW w:w="2268" w:type="dxa"/>
          </w:tcPr>
          <w:p w14:paraId="2E1F4895" w14:textId="77777777" w:rsidR="00124014" w:rsidRPr="00912E0E" w:rsidRDefault="00124014" w:rsidP="00344571">
            <w:pPr>
              <w:pStyle w:val="TableColHead"/>
            </w:pPr>
            <w:r w:rsidRPr="00912E0E">
              <w:t>Date revoked</w:t>
            </w:r>
          </w:p>
        </w:tc>
      </w:tr>
      <w:tr w:rsidR="00912E0E" w:rsidRPr="00912E0E" w14:paraId="4E354856" w14:textId="77777777" w:rsidTr="00344571">
        <w:trPr>
          <w:trHeight w:val="283"/>
        </w:trPr>
        <w:tc>
          <w:tcPr>
            <w:tcW w:w="6804" w:type="dxa"/>
          </w:tcPr>
          <w:p w14:paraId="35ACA4C9" w14:textId="2A1971D8" w:rsidR="00912E0E" w:rsidRPr="00912E0E" w:rsidRDefault="00912E0E" w:rsidP="00912E0E">
            <w:pPr>
              <w:pStyle w:val="TableText"/>
            </w:pPr>
            <w:r w:rsidRPr="00203F64">
              <w:t>Associations Incorporation Reform Regulations 2013</w:t>
            </w:r>
          </w:p>
        </w:tc>
        <w:tc>
          <w:tcPr>
            <w:tcW w:w="2268" w:type="dxa"/>
          </w:tcPr>
          <w:p w14:paraId="3B3A7F60" w14:textId="52B3421C" w:rsidR="00912E0E" w:rsidRPr="00912E0E" w:rsidRDefault="00912E0E" w:rsidP="00912E0E">
            <w:pPr>
              <w:pStyle w:val="TableText"/>
            </w:pPr>
            <w:r w:rsidRPr="00203F64">
              <w:t>18 November 2023</w:t>
            </w:r>
          </w:p>
        </w:tc>
      </w:tr>
      <w:tr w:rsidR="00912E0E" w:rsidRPr="00934136" w14:paraId="02D252FD" w14:textId="77777777" w:rsidTr="00344571">
        <w:trPr>
          <w:trHeight w:val="283"/>
        </w:trPr>
        <w:tc>
          <w:tcPr>
            <w:tcW w:w="6804" w:type="dxa"/>
          </w:tcPr>
          <w:p w14:paraId="6D24E980" w14:textId="7B7F9E45" w:rsidR="00912E0E" w:rsidRPr="00912E0E" w:rsidRDefault="00912E0E" w:rsidP="00912E0E">
            <w:pPr>
              <w:pStyle w:val="TableText"/>
            </w:pPr>
            <w:r w:rsidRPr="00203F64">
              <w:t>Co-operatives National Law (Victoria) Local Regulations 2014</w:t>
            </w:r>
          </w:p>
        </w:tc>
        <w:tc>
          <w:tcPr>
            <w:tcW w:w="2268" w:type="dxa"/>
          </w:tcPr>
          <w:p w14:paraId="3C1EC0AC" w14:textId="77BCCF9C" w:rsidR="00912E0E" w:rsidRPr="00912E0E" w:rsidRDefault="00912E0E" w:rsidP="00912E0E">
            <w:pPr>
              <w:pStyle w:val="TableText"/>
            </w:pPr>
            <w:r w:rsidRPr="00203F64">
              <w:t>17 February 2024</w:t>
            </w:r>
          </w:p>
        </w:tc>
      </w:tr>
      <w:tr w:rsidR="00912E0E" w:rsidRPr="00934136" w14:paraId="42D67B80" w14:textId="77777777" w:rsidTr="00344571">
        <w:trPr>
          <w:trHeight w:val="283"/>
        </w:trPr>
        <w:tc>
          <w:tcPr>
            <w:tcW w:w="6804" w:type="dxa"/>
          </w:tcPr>
          <w:p w14:paraId="22F9E1A1" w14:textId="21758C4F" w:rsidR="00912E0E" w:rsidRPr="00912E0E" w:rsidRDefault="00912E0E" w:rsidP="00912E0E">
            <w:pPr>
              <w:pStyle w:val="TableText"/>
            </w:pPr>
            <w:r w:rsidRPr="00203F64">
              <w:t>Sale of Land (Public Auctions) Regulations 2014</w:t>
            </w:r>
          </w:p>
        </w:tc>
        <w:tc>
          <w:tcPr>
            <w:tcW w:w="2268" w:type="dxa"/>
          </w:tcPr>
          <w:p w14:paraId="6751A93D" w14:textId="35947742" w:rsidR="00912E0E" w:rsidRPr="00912E0E" w:rsidRDefault="00912E0E" w:rsidP="00912E0E">
            <w:pPr>
              <w:pStyle w:val="TableText"/>
            </w:pPr>
            <w:r w:rsidRPr="00203F64">
              <w:t>23 June 2024</w:t>
            </w:r>
          </w:p>
        </w:tc>
      </w:tr>
    </w:tbl>
    <w:p w14:paraId="3E522F58" w14:textId="6B678927" w:rsidR="00B556A3" w:rsidRPr="00934136" w:rsidRDefault="00B556A3" w:rsidP="00BA4037">
      <w:pPr>
        <w:pStyle w:val="Heading2"/>
      </w:pPr>
      <w:bookmarkStart w:id="19" w:name="_Toc181015745"/>
      <w:r w:rsidRPr="00934136">
        <w:t>Legislation administered</w:t>
      </w:r>
      <w:r w:rsidR="002718C7">
        <w:br/>
      </w:r>
      <w:r w:rsidRPr="00934136">
        <w:t>by CAV as at 30 June 2024</w:t>
      </w:r>
      <w:bookmarkEnd w:id="19"/>
    </w:p>
    <w:p w14:paraId="71EF23B3" w14:textId="429937CD" w:rsidR="00B556A3" w:rsidRPr="00934136" w:rsidRDefault="00B556A3" w:rsidP="0018758D">
      <w:pPr>
        <w:pStyle w:val="ListBullet"/>
        <w:rPr>
          <w:rStyle w:val="Emphasis"/>
        </w:rPr>
      </w:pPr>
      <w:r w:rsidRPr="00934136">
        <w:rPr>
          <w:rStyle w:val="Emphasis"/>
        </w:rPr>
        <w:t>Associations Incorporation Reform Act 2012</w:t>
      </w:r>
    </w:p>
    <w:p w14:paraId="7E3976F8" w14:textId="7992C0F2" w:rsidR="00B556A3" w:rsidRPr="00934136" w:rsidRDefault="00B556A3" w:rsidP="0018758D">
      <w:pPr>
        <w:pStyle w:val="ListBullet"/>
        <w:rPr>
          <w:rStyle w:val="Emphasis"/>
        </w:rPr>
      </w:pPr>
      <w:r w:rsidRPr="00934136">
        <w:rPr>
          <w:rStyle w:val="Emphasis"/>
        </w:rPr>
        <w:t>Australian Consumer Law and Fair Trading Act 2012</w:t>
      </w:r>
    </w:p>
    <w:p w14:paraId="7D960C7D" w14:textId="38B876CC" w:rsidR="00B556A3" w:rsidRPr="00934136" w:rsidRDefault="00B556A3" w:rsidP="0018758D">
      <w:pPr>
        <w:pStyle w:val="ListBullet"/>
        <w:rPr>
          <w:rStyle w:val="Emphasis"/>
        </w:rPr>
      </w:pPr>
      <w:r w:rsidRPr="00934136">
        <w:rPr>
          <w:rStyle w:val="Emphasis"/>
        </w:rPr>
        <w:t>Business Licensing Authority Act 1998</w:t>
      </w:r>
    </w:p>
    <w:p w14:paraId="006A161E" w14:textId="087D1816" w:rsidR="00B556A3" w:rsidRPr="00934136" w:rsidRDefault="00B556A3" w:rsidP="0018758D">
      <w:pPr>
        <w:pStyle w:val="ListBullet"/>
        <w:rPr>
          <w:rStyle w:val="Emphasis"/>
        </w:rPr>
      </w:pPr>
      <w:r w:rsidRPr="00934136">
        <w:rPr>
          <w:rStyle w:val="Emphasis"/>
        </w:rPr>
        <w:t>Business Names (Commonwealth Powers) Act 2011</w:t>
      </w:r>
    </w:p>
    <w:p w14:paraId="00DF365F" w14:textId="0F41B7D2" w:rsidR="00B556A3" w:rsidRPr="00934136" w:rsidRDefault="00B556A3" w:rsidP="0018758D">
      <w:pPr>
        <w:pStyle w:val="ListBullet"/>
        <w:rPr>
          <w:rStyle w:val="Emphasis"/>
        </w:rPr>
      </w:pPr>
      <w:r w:rsidRPr="00934136">
        <w:rPr>
          <w:rStyle w:val="Emphasis"/>
        </w:rPr>
        <w:t>Chattel Securities Act 1987</w:t>
      </w:r>
    </w:p>
    <w:p w14:paraId="0E359A35" w14:textId="7F2D2EAA" w:rsidR="00B556A3" w:rsidRPr="00934136" w:rsidRDefault="00B556A3" w:rsidP="0018758D">
      <w:pPr>
        <w:pStyle w:val="ListBullet"/>
        <w:rPr>
          <w:rStyle w:val="Emphasis"/>
        </w:rPr>
      </w:pPr>
      <w:r w:rsidRPr="00934136">
        <w:rPr>
          <w:rStyle w:val="Emphasis"/>
        </w:rPr>
        <w:t>Company Titles (Home Units) Act 2013</w:t>
      </w:r>
    </w:p>
    <w:p w14:paraId="39698B00" w14:textId="3581CA6E" w:rsidR="00B556A3" w:rsidRPr="00934136" w:rsidRDefault="00B556A3" w:rsidP="0018758D">
      <w:pPr>
        <w:pStyle w:val="ListBullet"/>
        <w:rPr>
          <w:rStyle w:val="Emphasis"/>
        </w:rPr>
      </w:pPr>
      <w:r w:rsidRPr="00934136">
        <w:rPr>
          <w:rStyle w:val="Emphasis"/>
        </w:rPr>
        <w:t>Consumer Credit (Victoria) Act 1995</w:t>
      </w:r>
    </w:p>
    <w:p w14:paraId="210662D8" w14:textId="55B8FB6F" w:rsidR="00B556A3" w:rsidRPr="00934136" w:rsidRDefault="00B556A3" w:rsidP="0018758D">
      <w:pPr>
        <w:pStyle w:val="ListBullet"/>
        <w:rPr>
          <w:rStyle w:val="Emphasis"/>
        </w:rPr>
      </w:pPr>
      <w:r w:rsidRPr="00934136">
        <w:rPr>
          <w:rStyle w:val="Emphasis"/>
        </w:rPr>
        <w:t>Conveyancers Act 2006</w:t>
      </w:r>
    </w:p>
    <w:p w14:paraId="0D0AC08E" w14:textId="7A2ACFEB" w:rsidR="00B556A3" w:rsidRPr="00934136" w:rsidRDefault="00B556A3" w:rsidP="0018758D">
      <w:pPr>
        <w:pStyle w:val="ListBullet"/>
        <w:rPr>
          <w:rStyle w:val="Emphasis"/>
        </w:rPr>
      </w:pPr>
      <w:r w:rsidRPr="00934136">
        <w:rPr>
          <w:rStyle w:val="Emphasis"/>
        </w:rPr>
        <w:t>Co-operatives National Law Application Act 2013</w:t>
      </w:r>
    </w:p>
    <w:p w14:paraId="7089B105" w14:textId="6C3B0DC2" w:rsidR="00B556A3" w:rsidRPr="00934136" w:rsidRDefault="00B556A3" w:rsidP="0018758D">
      <w:pPr>
        <w:pStyle w:val="ListBullet"/>
        <w:rPr>
          <w:rStyle w:val="Emphasis"/>
        </w:rPr>
      </w:pPr>
      <w:r w:rsidRPr="00934136">
        <w:rPr>
          <w:rStyle w:val="Emphasis"/>
        </w:rPr>
        <w:t>Credit Act 1984</w:t>
      </w:r>
    </w:p>
    <w:p w14:paraId="6D58F7D0" w14:textId="19F9584E" w:rsidR="00B556A3" w:rsidRPr="00934136" w:rsidRDefault="00B556A3" w:rsidP="0018758D">
      <w:pPr>
        <w:pStyle w:val="ListBullet"/>
        <w:rPr>
          <w:rStyle w:val="Emphasis"/>
        </w:rPr>
      </w:pPr>
      <w:r w:rsidRPr="00934136">
        <w:rPr>
          <w:rStyle w:val="Emphasis"/>
        </w:rPr>
        <w:t>Credit (Administration) Act 1984</w:t>
      </w:r>
    </w:p>
    <w:p w14:paraId="0927CF17" w14:textId="2BFAFFCF" w:rsidR="00B556A3" w:rsidRPr="00934136" w:rsidRDefault="00B556A3" w:rsidP="0018758D">
      <w:pPr>
        <w:pStyle w:val="ListBullet"/>
        <w:rPr>
          <w:rStyle w:val="Emphasis"/>
        </w:rPr>
      </w:pPr>
      <w:r w:rsidRPr="00934136">
        <w:rPr>
          <w:rStyle w:val="Emphasis"/>
        </w:rPr>
        <w:t>Credit (Commonwealth Powers) Act 2010</w:t>
      </w:r>
    </w:p>
    <w:p w14:paraId="574067D1" w14:textId="59452E37" w:rsidR="00B556A3" w:rsidRPr="00934136" w:rsidRDefault="00B556A3" w:rsidP="0018758D">
      <w:pPr>
        <w:pStyle w:val="ListBullet"/>
        <w:rPr>
          <w:rStyle w:val="Emphasis"/>
        </w:rPr>
      </w:pPr>
      <w:r w:rsidRPr="00934136">
        <w:rPr>
          <w:rStyle w:val="Emphasis"/>
        </w:rPr>
        <w:t>Domestic Building Contracts Act 1995</w:t>
      </w:r>
    </w:p>
    <w:p w14:paraId="5CDB9B2F" w14:textId="44BFD7C4" w:rsidR="00B556A3" w:rsidRPr="00934136" w:rsidRDefault="00B556A3" w:rsidP="0018758D">
      <w:pPr>
        <w:pStyle w:val="ListBullet2"/>
      </w:pPr>
      <w:r w:rsidRPr="00934136">
        <w:t>Except Part 5 (administered by the Attorney-General)</w:t>
      </w:r>
    </w:p>
    <w:p w14:paraId="6FDD473E" w14:textId="1BF3008A" w:rsidR="00B556A3" w:rsidRPr="00934136" w:rsidRDefault="00B556A3" w:rsidP="0018758D">
      <w:pPr>
        <w:pStyle w:val="ListBullet"/>
        <w:rPr>
          <w:rStyle w:val="Emphasis"/>
        </w:rPr>
      </w:pPr>
      <w:r w:rsidRPr="00934136">
        <w:rPr>
          <w:rStyle w:val="Emphasis"/>
        </w:rPr>
        <w:t>Estate Agents Act 1980</w:t>
      </w:r>
    </w:p>
    <w:p w14:paraId="17030851" w14:textId="51DA337B" w:rsidR="00B556A3" w:rsidRPr="00934136" w:rsidRDefault="00B556A3" w:rsidP="0018758D">
      <w:pPr>
        <w:pStyle w:val="ListBullet"/>
        <w:rPr>
          <w:rStyle w:val="Emphasis"/>
        </w:rPr>
      </w:pPr>
      <w:r w:rsidRPr="00934136">
        <w:rPr>
          <w:rStyle w:val="Emphasis"/>
        </w:rPr>
        <w:t>Fundraising Act 1998</w:t>
      </w:r>
    </w:p>
    <w:p w14:paraId="6A62C964" w14:textId="4F3C6021" w:rsidR="00B556A3" w:rsidRPr="00934136" w:rsidRDefault="00B556A3" w:rsidP="0018758D">
      <w:pPr>
        <w:pStyle w:val="ListBullet"/>
        <w:rPr>
          <w:rStyle w:val="Emphasis"/>
        </w:rPr>
      </w:pPr>
      <w:r w:rsidRPr="00934136">
        <w:rPr>
          <w:rStyle w:val="Emphasis"/>
        </w:rPr>
        <w:t>Funerals Act 2006</w:t>
      </w:r>
    </w:p>
    <w:p w14:paraId="6AD4E37B" w14:textId="660FE1DB" w:rsidR="00B556A3" w:rsidRPr="00934136" w:rsidRDefault="00B556A3" w:rsidP="0018758D">
      <w:pPr>
        <w:pStyle w:val="ListBullet"/>
        <w:rPr>
          <w:rStyle w:val="Emphasis"/>
        </w:rPr>
      </w:pPr>
      <w:r w:rsidRPr="00934136">
        <w:rPr>
          <w:rStyle w:val="Emphasis"/>
        </w:rPr>
        <w:t>Goods Act 1958</w:t>
      </w:r>
    </w:p>
    <w:p w14:paraId="0427E3F1" w14:textId="6858F6D7" w:rsidR="00B556A3" w:rsidRPr="00934136" w:rsidRDefault="00B556A3" w:rsidP="0018758D">
      <w:pPr>
        <w:pStyle w:val="ListBullet"/>
        <w:rPr>
          <w:rStyle w:val="Emphasis"/>
        </w:rPr>
      </w:pPr>
      <w:r w:rsidRPr="00934136">
        <w:rPr>
          <w:rStyle w:val="Emphasis"/>
        </w:rPr>
        <w:t>Motor Car Traders Act 1986</w:t>
      </w:r>
    </w:p>
    <w:p w14:paraId="09604A94" w14:textId="18DA146B" w:rsidR="00B556A3" w:rsidRPr="00934136" w:rsidRDefault="00B556A3" w:rsidP="0018758D">
      <w:pPr>
        <w:pStyle w:val="ListBullet"/>
        <w:rPr>
          <w:rStyle w:val="Emphasis"/>
        </w:rPr>
      </w:pPr>
      <w:r w:rsidRPr="00934136">
        <w:rPr>
          <w:rStyle w:val="Emphasis"/>
        </w:rPr>
        <w:t>Owners Corporations Act 2006</w:t>
      </w:r>
    </w:p>
    <w:p w14:paraId="4E19C1D1" w14:textId="06CAF488" w:rsidR="00B556A3" w:rsidRPr="00934136" w:rsidRDefault="00B556A3" w:rsidP="0018758D">
      <w:pPr>
        <w:pStyle w:val="ListBullet"/>
        <w:rPr>
          <w:rStyle w:val="Emphasis"/>
        </w:rPr>
      </w:pPr>
      <w:r w:rsidRPr="00934136">
        <w:rPr>
          <w:rStyle w:val="Emphasis"/>
        </w:rPr>
        <w:t>Partnership Act 1958</w:t>
      </w:r>
    </w:p>
    <w:p w14:paraId="4D2D55A7" w14:textId="5C23C68F" w:rsidR="00B556A3" w:rsidRPr="00934136" w:rsidRDefault="00B556A3" w:rsidP="0018758D">
      <w:pPr>
        <w:pStyle w:val="ListBullet"/>
        <w:rPr>
          <w:rStyle w:val="Emphasis"/>
        </w:rPr>
      </w:pPr>
      <w:r w:rsidRPr="00934136">
        <w:rPr>
          <w:rStyle w:val="Emphasis"/>
        </w:rPr>
        <w:t>Professional Engineers Registration Act 2019</w:t>
      </w:r>
    </w:p>
    <w:p w14:paraId="5F3BC2A1" w14:textId="574C7919" w:rsidR="00B556A3" w:rsidRPr="00934136" w:rsidRDefault="00B556A3" w:rsidP="0018758D">
      <w:pPr>
        <w:pStyle w:val="ListBullet"/>
        <w:rPr>
          <w:rStyle w:val="Emphasis"/>
        </w:rPr>
      </w:pPr>
      <w:r w:rsidRPr="00934136">
        <w:rPr>
          <w:rStyle w:val="Emphasis"/>
        </w:rPr>
        <w:t>Residential Tenancies Act 1997</w:t>
      </w:r>
    </w:p>
    <w:p w14:paraId="12A687F6" w14:textId="22D27DD0" w:rsidR="00B556A3" w:rsidRPr="00934136" w:rsidRDefault="00B556A3" w:rsidP="0018758D">
      <w:pPr>
        <w:pStyle w:val="ListBullet2"/>
      </w:pPr>
      <w:r w:rsidRPr="00934136">
        <w:t xml:space="preserve">Sections 23A-25, 27, 32, 33, 45–48, 74–77, 82, 90, 91, 91 A, 102, 102A, 103, 104(1), </w:t>
      </w:r>
      <w:r w:rsidR="002718C7">
        <w:br/>
      </w:r>
      <w:r w:rsidRPr="00934136">
        <w:t xml:space="preserve">104(4), 104(5), 104(6), 105(2), 105(2A), 105(3), 124, 128, 130–134, 141–142B, 142D–212, 213AA–215, 230, 232–234, 241, 277, 289A, 291–327, 329–333, 335–339, 341, 343–366, </w:t>
      </w:r>
      <w:r w:rsidR="002718C7">
        <w:br/>
      </w:r>
      <w:r w:rsidRPr="00934136">
        <w:t xml:space="preserve">373–376, 385, 388, 388A, 390, 390A, 395–398, 399A–439M, 480, 486–499, 501–504, </w:t>
      </w:r>
      <w:r w:rsidR="002718C7">
        <w:br/>
      </w:r>
      <w:r w:rsidRPr="00934136">
        <w:t>505A–5IOC</w:t>
      </w:r>
    </w:p>
    <w:p w14:paraId="19BAAA4F" w14:textId="7F0CDCD2" w:rsidR="00B556A3" w:rsidRPr="00934136" w:rsidRDefault="00B556A3" w:rsidP="0018758D">
      <w:pPr>
        <w:pStyle w:val="ListBullet2"/>
      </w:pPr>
      <w:r w:rsidRPr="00934136">
        <w:t>Section 66(1) this section is jointly administered with the Minister for Housing</w:t>
      </w:r>
    </w:p>
    <w:p w14:paraId="2924462F" w14:textId="7C2058D0" w:rsidR="00B556A3" w:rsidRPr="00934136" w:rsidRDefault="00B556A3" w:rsidP="0018758D">
      <w:pPr>
        <w:pStyle w:val="ListBullet2"/>
      </w:pPr>
      <w:r w:rsidRPr="00934136">
        <w:t>Section 142C jointly and severally administered with the Minister for Housing</w:t>
      </w:r>
    </w:p>
    <w:p w14:paraId="6FA5365D" w14:textId="71DB8722" w:rsidR="00B556A3" w:rsidRPr="00934136" w:rsidRDefault="00B556A3" w:rsidP="0018758D">
      <w:pPr>
        <w:pStyle w:val="ListBullet2"/>
      </w:pPr>
      <w:r w:rsidRPr="00934136">
        <w:t>Part 12A and section 511 jointly and severally administered with the Minister for Disability, Ageing and Carers, and the Minister for Housing</w:t>
      </w:r>
    </w:p>
    <w:p w14:paraId="30237DF4" w14:textId="42B79296" w:rsidR="00B556A3" w:rsidRPr="00934136" w:rsidRDefault="00B556A3" w:rsidP="0018758D">
      <w:pPr>
        <w:pStyle w:val="ListBullet2"/>
      </w:pPr>
      <w:r w:rsidRPr="00934136">
        <w:t>The Act is otherwise administered by the Attorney-General, the Minister for Housing and the Minister for Planning</w:t>
      </w:r>
    </w:p>
    <w:p w14:paraId="5CA3D055" w14:textId="32A01DC3" w:rsidR="00B556A3" w:rsidRPr="00934136" w:rsidRDefault="00B556A3" w:rsidP="0018758D">
      <w:pPr>
        <w:pStyle w:val="ListBullet"/>
        <w:rPr>
          <w:rStyle w:val="Emphasis"/>
        </w:rPr>
      </w:pPr>
      <w:r w:rsidRPr="00934136">
        <w:rPr>
          <w:rStyle w:val="Emphasis"/>
        </w:rPr>
        <w:t>Retirement Villages Act 1986</w:t>
      </w:r>
    </w:p>
    <w:p w14:paraId="137C2CCA" w14:textId="4C2D1ABF" w:rsidR="00B556A3" w:rsidRPr="00934136" w:rsidRDefault="00B556A3" w:rsidP="0018758D">
      <w:pPr>
        <w:pStyle w:val="ListBullet"/>
        <w:rPr>
          <w:rStyle w:val="Emphasis"/>
        </w:rPr>
      </w:pPr>
      <w:r w:rsidRPr="00934136">
        <w:rPr>
          <w:rStyle w:val="Emphasis"/>
        </w:rPr>
        <w:t>Rooming House Operators Act 2016</w:t>
      </w:r>
    </w:p>
    <w:p w14:paraId="1DCF080B" w14:textId="285DFA27" w:rsidR="00B556A3" w:rsidRPr="00934136" w:rsidRDefault="00B556A3" w:rsidP="0018758D">
      <w:pPr>
        <w:pStyle w:val="ListBullet"/>
        <w:rPr>
          <w:rStyle w:val="Emphasis"/>
        </w:rPr>
      </w:pPr>
      <w:r w:rsidRPr="00934136">
        <w:rPr>
          <w:rStyle w:val="Emphasis"/>
        </w:rPr>
        <w:t>Sale of Land Act 1962</w:t>
      </w:r>
    </w:p>
    <w:p w14:paraId="2A744C7D" w14:textId="393908BF" w:rsidR="00B556A3" w:rsidRPr="00934136" w:rsidRDefault="00B556A3" w:rsidP="0018758D">
      <w:pPr>
        <w:pStyle w:val="ListBullet"/>
        <w:rPr>
          <w:rStyle w:val="Emphasis"/>
        </w:rPr>
      </w:pPr>
      <w:r w:rsidRPr="00934136">
        <w:rPr>
          <w:rStyle w:val="Emphasis"/>
        </w:rPr>
        <w:t>Second-Hand Dealers and Pawnbrokers Act 1989</w:t>
      </w:r>
    </w:p>
    <w:p w14:paraId="4AA71D9E" w14:textId="47031E36" w:rsidR="00B556A3" w:rsidRPr="00934136" w:rsidRDefault="00B556A3" w:rsidP="0018758D">
      <w:pPr>
        <w:pStyle w:val="ListBullet"/>
        <w:rPr>
          <w:rStyle w:val="Emphasis"/>
        </w:rPr>
      </w:pPr>
      <w:r w:rsidRPr="00934136">
        <w:rPr>
          <w:rStyle w:val="Emphasis"/>
        </w:rPr>
        <w:t>Subdivision Act 1988</w:t>
      </w:r>
    </w:p>
    <w:p w14:paraId="082817CF" w14:textId="7F4087DA" w:rsidR="00B556A3" w:rsidRPr="00934136" w:rsidRDefault="00B556A3" w:rsidP="0018758D">
      <w:pPr>
        <w:pStyle w:val="ListBullet2"/>
      </w:pPr>
      <w:r w:rsidRPr="00934136">
        <w:t>Part 5</w:t>
      </w:r>
    </w:p>
    <w:p w14:paraId="052618C6" w14:textId="168775EB" w:rsidR="00B556A3" w:rsidRPr="00934136" w:rsidRDefault="00B556A3" w:rsidP="0018758D">
      <w:pPr>
        <w:pStyle w:val="ListBullet2"/>
      </w:pPr>
      <w:r w:rsidRPr="00934136">
        <w:t>Section 43 (in so far as it relates to Part 5)</w:t>
      </w:r>
    </w:p>
    <w:p w14:paraId="21911CBA" w14:textId="154890E9" w:rsidR="00B556A3" w:rsidRPr="00934136" w:rsidRDefault="00B556A3" w:rsidP="0018758D">
      <w:pPr>
        <w:pStyle w:val="ListBullet"/>
        <w:rPr>
          <w:rStyle w:val="Emphasis"/>
        </w:rPr>
      </w:pPr>
      <w:r w:rsidRPr="00934136">
        <w:rPr>
          <w:rStyle w:val="Emphasis"/>
        </w:rPr>
        <w:t>Travel Agents Repeal Act 2014</w:t>
      </w:r>
    </w:p>
    <w:p w14:paraId="5707D945" w14:textId="705FD977" w:rsidR="00B556A3" w:rsidRPr="00934136" w:rsidRDefault="00B556A3" w:rsidP="0018758D">
      <w:pPr>
        <w:pStyle w:val="ListBullet"/>
        <w:rPr>
          <w:rStyle w:val="Emphasis"/>
        </w:rPr>
      </w:pPr>
      <w:r w:rsidRPr="00934136">
        <w:rPr>
          <w:rStyle w:val="Emphasis"/>
        </w:rPr>
        <w:t>Veterans Act 2005</w:t>
      </w:r>
    </w:p>
    <w:p w14:paraId="632713C4" w14:textId="6E59B696" w:rsidR="00B556A3" w:rsidRPr="00934136" w:rsidRDefault="00B556A3" w:rsidP="0018758D">
      <w:pPr>
        <w:pStyle w:val="ListBullet2"/>
      </w:pPr>
      <w:r w:rsidRPr="00934136">
        <w:t>Part 4</w:t>
      </w:r>
    </w:p>
    <w:p w14:paraId="6D2E2F06" w14:textId="4D5C2956" w:rsidR="00B556A3" w:rsidRPr="00934136" w:rsidRDefault="00B556A3" w:rsidP="0018758D">
      <w:pPr>
        <w:pStyle w:val="ListBullet2"/>
      </w:pPr>
      <w:r w:rsidRPr="00934136">
        <w:t>The Act is otherwise administered by the Minister for Veterans</w:t>
      </w:r>
    </w:p>
    <w:p w14:paraId="1FCEFDCE" w14:textId="20A6FA31" w:rsidR="00B556A3" w:rsidRPr="00934136" w:rsidRDefault="00B556A3" w:rsidP="0018758D">
      <w:pPr>
        <w:pStyle w:val="ListBullet"/>
      </w:pPr>
      <w:r w:rsidRPr="00934136">
        <w:rPr>
          <w:rStyle w:val="Emphasis"/>
        </w:rPr>
        <w:t>Warehousemen’s Liens Act 1958</w:t>
      </w:r>
    </w:p>
    <w:p w14:paraId="3DCAE47F" w14:textId="77777777" w:rsidR="005D12F7" w:rsidRPr="00934136" w:rsidRDefault="005D12F7">
      <w:pPr>
        <w:spacing w:after="0" w:line="240" w:lineRule="auto"/>
        <w:rPr>
          <w:rFonts w:ascii="Arial" w:eastAsia="Times New Roman" w:hAnsi="Arial" w:cs="Arial"/>
          <w:sz w:val="20"/>
          <w:szCs w:val="24"/>
        </w:rPr>
      </w:pPr>
      <w:r w:rsidRPr="00934136">
        <w:br w:type="page"/>
      </w:r>
    </w:p>
    <w:p w14:paraId="62EB8ECB" w14:textId="3F370BC2" w:rsidR="00B556A3" w:rsidRPr="00934136" w:rsidRDefault="00B556A3" w:rsidP="0018758D">
      <w:pPr>
        <w:pStyle w:val="BodyText"/>
      </w:pPr>
      <w:r w:rsidRPr="00934136">
        <w:t>Consumer Affairs Victoria (part of the Department of Government Services) acknowledges the Aboriginal and Torres Strait Islander people as the Traditional Custodians of the land. The department also acknowledges and pays respect to their Elders, past and present.</w:t>
      </w:r>
    </w:p>
    <w:p w14:paraId="01D1DC1D" w14:textId="43B6DCB0" w:rsidR="00B556A3" w:rsidRPr="00934136" w:rsidRDefault="00B556A3" w:rsidP="0018758D">
      <w:pPr>
        <w:pStyle w:val="BodyText"/>
      </w:pPr>
      <w:r w:rsidRPr="00934136">
        <w:t>Authorised and published by the Victorian Government, 1 Treasury Place, Melbourne.</w:t>
      </w:r>
    </w:p>
    <w:p w14:paraId="6AF5FA42" w14:textId="02E11D1D" w:rsidR="00B556A3" w:rsidRPr="00934136" w:rsidRDefault="00555B77" w:rsidP="0018758D">
      <w:pPr>
        <w:pStyle w:val="BodyText"/>
      </w:pPr>
      <w:r>
        <w:t>November</w:t>
      </w:r>
      <w:r w:rsidR="00B556A3" w:rsidRPr="00934136">
        <w:t xml:space="preserve"> 2024</w:t>
      </w:r>
    </w:p>
    <w:p w14:paraId="798E98E2" w14:textId="3D9B1EAF" w:rsidR="00B556A3" w:rsidRPr="00934136" w:rsidRDefault="00B556A3" w:rsidP="0018758D">
      <w:pPr>
        <w:pStyle w:val="BodyText"/>
      </w:pPr>
      <w:r w:rsidRPr="00934136">
        <w:rPr>
          <w:rStyle w:val="Strong"/>
        </w:rPr>
        <w:t>ISSN</w:t>
      </w:r>
      <w:r w:rsidRPr="00934136">
        <w:t xml:space="preserve"> 2209-4768 - </w:t>
      </w:r>
      <w:r w:rsidRPr="00934136">
        <w:rPr>
          <w:rStyle w:val="Strong"/>
        </w:rPr>
        <w:t>Online (pdf/word)</w:t>
      </w:r>
    </w:p>
    <w:p w14:paraId="6E8BFE06" w14:textId="2E6F161C" w:rsidR="00B556A3" w:rsidRPr="00934136" w:rsidRDefault="00B556A3" w:rsidP="0018758D">
      <w:pPr>
        <w:pStyle w:val="BodyText"/>
      </w:pPr>
      <w:r w:rsidRPr="00934136">
        <w:t>Unless indicated otherwise, this work is made available under the terms of the Creative Commons Attribution 4.0 International licence.</w:t>
      </w:r>
    </w:p>
    <w:p w14:paraId="1D66B5D4" w14:textId="77777777" w:rsidR="0075245A" w:rsidRDefault="0075245A" w:rsidP="0075245A">
      <w:pPr>
        <w:pStyle w:val="BodyText"/>
      </w:pPr>
      <w:r>
        <w:t xml:space="preserve">To view a copy of this licence, visit the </w:t>
      </w:r>
      <w:hyperlink r:id="rId22" w:history="1">
        <w:r w:rsidRPr="00BE26A8">
          <w:rPr>
            <w:rStyle w:val="Hyperlink"/>
          </w:rPr>
          <w:t>Creative Commons website</w:t>
        </w:r>
      </w:hyperlink>
      <w:r>
        <w:t xml:space="preserve"> &lt;</w:t>
      </w:r>
      <w:r w:rsidRPr="00BE26A8">
        <w:t>creativecommons.org/licenses/by/4.0</w:t>
      </w:r>
      <w:r>
        <w:t>&gt;.</w:t>
      </w:r>
    </w:p>
    <w:p w14:paraId="2760817D" w14:textId="16F7DB40" w:rsidR="00B556A3" w:rsidRPr="00934136" w:rsidRDefault="00B556A3" w:rsidP="0018758D">
      <w:pPr>
        <w:pStyle w:val="BodyText"/>
      </w:pPr>
      <w:r w:rsidRPr="00934136">
        <w:t>It is a condition of this Creative Commons Attribution 4.0 Licence that you give credit to the original author, who is the State of Victoria.</w:t>
      </w:r>
    </w:p>
    <w:p w14:paraId="3C546330" w14:textId="77777777" w:rsidR="00B556A3" w:rsidRPr="00934136" w:rsidRDefault="00B556A3" w:rsidP="005D12F7">
      <w:pPr>
        <w:pStyle w:val="Heading2small"/>
      </w:pPr>
      <w:r w:rsidRPr="00934136">
        <w:t>Accessibility</w:t>
      </w:r>
    </w:p>
    <w:p w14:paraId="0C6E0CEB" w14:textId="43E5028F" w:rsidR="00B556A3" w:rsidRPr="00934136" w:rsidRDefault="00B556A3" w:rsidP="0018758D">
      <w:pPr>
        <w:pStyle w:val="BodyText"/>
      </w:pPr>
      <w:r w:rsidRPr="00934136">
        <w:t xml:space="preserve">If you would like to receive this publication in an accessible format, </w:t>
      </w:r>
      <w:r w:rsidR="0075245A">
        <w:br/>
        <w:t xml:space="preserve">please visit the </w:t>
      </w:r>
      <w:hyperlink r:id="rId23" w:history="1">
        <w:r w:rsidR="0075245A" w:rsidRPr="004746BC">
          <w:rPr>
            <w:rStyle w:val="Hyperlink"/>
          </w:rPr>
          <w:t>Consumer</w:t>
        </w:r>
        <w:r w:rsidR="0075245A">
          <w:rPr>
            <w:rStyle w:val="Hyperlink"/>
          </w:rPr>
          <w:t xml:space="preserve"> </w:t>
        </w:r>
        <w:r w:rsidR="0075245A" w:rsidRPr="004746BC">
          <w:rPr>
            <w:rStyle w:val="Hyperlink"/>
          </w:rPr>
          <w:t>Affairs</w:t>
        </w:r>
        <w:r w:rsidR="0075245A">
          <w:rPr>
            <w:rStyle w:val="Hyperlink"/>
          </w:rPr>
          <w:t xml:space="preserve"> </w:t>
        </w:r>
        <w:r w:rsidR="0075245A" w:rsidRPr="004746BC">
          <w:rPr>
            <w:rStyle w:val="Hyperlink"/>
          </w:rPr>
          <w:t>Victoria</w:t>
        </w:r>
        <w:r w:rsidR="0075245A">
          <w:rPr>
            <w:rStyle w:val="Hyperlink"/>
          </w:rPr>
          <w:t xml:space="preserve"> </w:t>
        </w:r>
        <w:r w:rsidR="0075245A" w:rsidRPr="004746BC">
          <w:rPr>
            <w:rStyle w:val="Hyperlink"/>
          </w:rPr>
          <w:t>website</w:t>
        </w:r>
      </w:hyperlink>
      <w:r w:rsidR="0075245A">
        <w:t xml:space="preserve"> &lt;consumer.vic.gov.au&gt;.</w:t>
      </w:r>
    </w:p>
    <w:p w14:paraId="7598436C" w14:textId="21292B40" w:rsidR="00B556A3" w:rsidRPr="00934136" w:rsidRDefault="00B556A3" w:rsidP="0018758D">
      <w:pPr>
        <w:pStyle w:val="BodyText"/>
      </w:pPr>
      <w:r w:rsidRPr="00934136">
        <w:t xml:space="preserve">Published by order, or under the authority, </w:t>
      </w:r>
      <w:r w:rsidRPr="00934136">
        <w:br/>
        <w:t>of</w:t>
      </w:r>
      <w:r w:rsidRPr="00934136">
        <w:rPr>
          <w:rFonts w:ascii="Cambria" w:hAnsi="Cambria" w:cs="Cambria"/>
        </w:rPr>
        <w:t xml:space="preserve"> </w:t>
      </w:r>
      <w:r w:rsidRPr="00934136">
        <w:t>the Parliament of Victoria</w:t>
      </w:r>
      <w:r w:rsidRPr="00934136">
        <w:br/>
      </w:r>
      <w:r w:rsidR="00AC11EC">
        <w:t>November</w:t>
      </w:r>
      <w:r w:rsidRPr="00934136">
        <w:t xml:space="preserve"> 2024</w:t>
      </w:r>
    </w:p>
    <w:p w14:paraId="2C767A3A" w14:textId="77777777" w:rsidR="005D12F7" w:rsidRPr="00934136" w:rsidRDefault="005D12F7" w:rsidP="005D12F7">
      <w:pPr>
        <w:pStyle w:val="Heading2small"/>
      </w:pPr>
      <w:r w:rsidRPr="00934136">
        <w:t>Consumer Affairs Victoria</w:t>
      </w:r>
    </w:p>
    <w:p w14:paraId="583BD4AB" w14:textId="77777777" w:rsidR="005D12F7" w:rsidRPr="00934136" w:rsidRDefault="006C5DC0" w:rsidP="005D12F7">
      <w:pPr>
        <w:pStyle w:val="BodyText"/>
      </w:pPr>
      <w:hyperlink r:id="rId24" w:history="1">
        <w:r w:rsidR="005D12F7" w:rsidRPr="00934136">
          <w:rPr>
            <w:rStyle w:val="Hyperlink"/>
          </w:rPr>
          <w:t>Consumer Affairs Victoria website</w:t>
        </w:r>
      </w:hyperlink>
      <w:r w:rsidR="005D12F7" w:rsidRPr="00934136">
        <w:t xml:space="preserve"> &lt;consumer.vic.gov.au&gt;</w:t>
      </w:r>
    </w:p>
    <w:p w14:paraId="0F251E0F" w14:textId="30B12366" w:rsidR="005D12F7" w:rsidRPr="00934136" w:rsidRDefault="005D12F7" w:rsidP="005D12F7">
      <w:pPr>
        <w:pStyle w:val="BodyText"/>
        <w:spacing w:before="800"/>
      </w:pPr>
      <w:r w:rsidRPr="00934136">
        <w:rPr>
          <w:noProof/>
          <w:lang w:val="en-GB"/>
        </w:rPr>
        <w:drawing>
          <wp:inline distT="0" distB="0" distL="0" distR="0" wp14:anchorId="4B8284D8" wp14:editId="692F1DD8">
            <wp:extent cx="1565640" cy="468000"/>
            <wp:effectExtent l="0" t="0" r="0" b="8255"/>
            <wp:docPr id="1558025786" name="Picture 1" descr="Victoria State Government - Govern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25786" name="Picture 1" descr="Victoria State Government - Government Service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65640" cy="468000"/>
                    </a:xfrm>
                    <a:prstGeom prst="rect">
                      <a:avLst/>
                    </a:prstGeom>
                  </pic:spPr>
                </pic:pic>
              </a:graphicData>
            </a:graphic>
          </wp:inline>
        </w:drawing>
      </w:r>
    </w:p>
    <w:sectPr w:rsidR="005D12F7" w:rsidRPr="00934136" w:rsidSect="00783BEE">
      <w:footnotePr>
        <w:numRestart w:val="eachPage"/>
      </w:footnotePr>
      <w:pgSz w:w="11906" w:h="16838" w:code="9"/>
      <w:pgMar w:top="1418" w:right="1418" w:bottom="1134"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EF4C" w14:textId="0CC42314" w:rsidR="006F187D" w:rsidRDefault="006F187D" w:rsidP="00C71F11">
      <w:pPr>
        <w:spacing w:after="0" w:line="240" w:lineRule="auto"/>
      </w:pPr>
      <w:r>
        <w:separator/>
      </w:r>
    </w:p>
    <w:p w14:paraId="6BCC1970" w14:textId="77777777" w:rsidR="006F187D" w:rsidRDefault="006F187D"/>
    <w:p w14:paraId="53145404" w14:textId="77777777" w:rsidR="006F187D" w:rsidRDefault="006F187D"/>
    <w:p w14:paraId="2B67FF8B" w14:textId="77777777" w:rsidR="006F187D" w:rsidRDefault="006F187D"/>
    <w:p w14:paraId="3DE7BBCF" w14:textId="77777777" w:rsidR="006F187D" w:rsidRDefault="006F187D"/>
  </w:endnote>
  <w:endnote w:type="continuationSeparator" w:id="0">
    <w:p w14:paraId="5703E0FE" w14:textId="2C270545" w:rsidR="006F187D" w:rsidRDefault="006F187D" w:rsidP="00C71F11">
      <w:pPr>
        <w:spacing w:after="0" w:line="240" w:lineRule="auto"/>
      </w:pPr>
      <w:r>
        <w:continuationSeparator/>
      </w:r>
    </w:p>
    <w:p w14:paraId="4ADB47F0" w14:textId="77777777" w:rsidR="006F187D" w:rsidRDefault="006F187D"/>
    <w:p w14:paraId="39C3E3F3" w14:textId="77777777" w:rsidR="006F187D" w:rsidRDefault="006F187D"/>
    <w:p w14:paraId="067C890F" w14:textId="77777777" w:rsidR="006F187D" w:rsidRDefault="006F187D"/>
    <w:p w14:paraId="3602B039" w14:textId="77777777" w:rsidR="006F187D" w:rsidRDefault="006F187D"/>
  </w:endnote>
  <w:endnote w:type="continuationNotice" w:id="1">
    <w:p w14:paraId="606227D0" w14:textId="21A2EE76" w:rsidR="006F187D" w:rsidRDefault="006F187D">
      <w:pPr>
        <w:spacing w:after="0" w:line="240" w:lineRule="auto"/>
      </w:pPr>
    </w:p>
    <w:p w14:paraId="309E404A" w14:textId="77777777" w:rsidR="006F187D" w:rsidRDefault="006F187D"/>
    <w:p w14:paraId="42DC8DBF" w14:textId="77777777" w:rsidR="006F187D" w:rsidRDefault="006F187D"/>
    <w:p w14:paraId="7C2A1C5E" w14:textId="77777777" w:rsidR="006F187D" w:rsidRDefault="006F187D"/>
    <w:p w14:paraId="00A32585" w14:textId="77777777" w:rsidR="006F187D" w:rsidRDefault="006F1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SemiBold">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C146" w14:textId="47B1593C" w:rsidR="006C5DC0" w:rsidRDefault="006C5DC0">
    <w:pPr>
      <w:pStyle w:val="Footer"/>
    </w:pPr>
    <w:r>
      <w:rPr>
        <w:noProof/>
      </w:rPr>
      <mc:AlternateContent>
        <mc:Choice Requires="wps">
          <w:drawing>
            <wp:anchor distT="0" distB="0" distL="0" distR="0" simplePos="0" relativeHeight="251659264" behindDoc="0" locked="0" layoutInCell="1" allowOverlap="1" wp14:anchorId="79B92105" wp14:editId="744FA4BD">
              <wp:simplePos x="635" y="635"/>
              <wp:positionH relativeFrom="page">
                <wp:align>left</wp:align>
              </wp:positionH>
              <wp:positionV relativeFrom="page">
                <wp:align>bottom</wp:align>
              </wp:positionV>
              <wp:extent cx="759460" cy="374650"/>
              <wp:effectExtent l="0" t="0" r="2540" b="0"/>
              <wp:wrapNone/>
              <wp:docPr id="148224074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50D1C33A" w14:textId="1A3B5879" w:rsidR="006C5DC0" w:rsidRPr="006C5DC0" w:rsidRDefault="006C5DC0" w:rsidP="006C5DC0">
                          <w:pPr>
                            <w:spacing w:after="0"/>
                            <w:rPr>
                              <w:rFonts w:cs="Calibri"/>
                              <w:noProof/>
                              <w:color w:val="000000"/>
                            </w:rPr>
                          </w:pPr>
                          <w:r w:rsidRPr="006C5DC0">
                            <w:rPr>
                              <w:rFonts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B92105" id="_x0000_t202" coordsize="21600,21600" o:spt="202" path="m,l,21600r21600,l21600,xe">
              <v:stroke joinstyle="miter"/>
              <v:path gradientshapeok="t" o:connecttype="rect"/>
            </v:shapetype>
            <v:shape id="Text Box 2" o:spid="_x0000_s1026" type="#_x0000_t202" alt="OFFICIAL" style="position:absolute;margin-left:0;margin-top:0;width:59.8pt;height:2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" filled="f" stroked="f">
              <v:fill o:detectmouseclick="t"/>
              <v:textbox style="mso-fit-shape-to-text:t" inset="20pt,0,0,15pt">
                <w:txbxContent>
                  <w:p w14:paraId="50D1C33A" w14:textId="1A3B5879" w:rsidR="006C5DC0" w:rsidRPr="006C5DC0" w:rsidRDefault="006C5DC0" w:rsidP="006C5DC0">
                    <w:pPr>
                      <w:spacing w:after="0"/>
                      <w:rPr>
                        <w:rFonts w:cs="Calibri"/>
                        <w:noProof/>
                        <w:color w:val="000000"/>
                      </w:rPr>
                    </w:pPr>
                    <w:r w:rsidRPr="006C5DC0">
                      <w:rPr>
                        <w:rFonts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C7D0" w14:textId="13AE186B" w:rsidR="006F187D" w:rsidRDefault="006C5DC0" w:rsidP="00006DE3">
    <w:pPr>
      <w:pStyle w:val="Footer"/>
    </w:pPr>
    <w:r>
      <w:rPr>
        <w:noProof/>
      </w:rPr>
      <mc:AlternateContent>
        <mc:Choice Requires="wps">
          <w:drawing>
            <wp:anchor distT="0" distB="0" distL="0" distR="0" simplePos="0" relativeHeight="251660288" behindDoc="0" locked="0" layoutInCell="1" allowOverlap="1" wp14:anchorId="18EB7792" wp14:editId="4C64DB7F">
              <wp:simplePos x="635" y="635"/>
              <wp:positionH relativeFrom="page">
                <wp:align>left</wp:align>
              </wp:positionH>
              <wp:positionV relativeFrom="page">
                <wp:align>bottom</wp:align>
              </wp:positionV>
              <wp:extent cx="759460" cy="374650"/>
              <wp:effectExtent l="0" t="0" r="2540" b="0"/>
              <wp:wrapNone/>
              <wp:docPr id="95658007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64D8820E" w14:textId="61024739" w:rsidR="006C5DC0" w:rsidRPr="006C5DC0" w:rsidRDefault="006C5DC0" w:rsidP="006C5DC0">
                          <w:pPr>
                            <w:spacing w:after="0"/>
                            <w:rPr>
                              <w:rFonts w:cs="Calibri"/>
                              <w:noProof/>
                              <w:color w:val="000000"/>
                            </w:rPr>
                          </w:pPr>
                          <w:r w:rsidRPr="006C5DC0">
                            <w:rPr>
                              <w:rFonts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EB7792" id="_x0000_t202" coordsize="21600,21600" o:spt="202" path="m,l,21600r21600,l21600,xe">
              <v:stroke joinstyle="miter"/>
              <v:path gradientshapeok="t" o:connecttype="rect"/>
            </v:shapetype>
            <v:shape id="Text Box 3" o:spid="_x0000_s1027" type="#_x0000_t202" alt="OFFICIAL" style="position:absolute;margin-left:0;margin-top:0;width:59.8pt;height:2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4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lXQyTL+D6oRLOej59pavG2y9YT68MIcE47Qo&#10;2vCMh1TQlhTOFiU1uB9/88d8xB2jlLQomJIaVDQl6ptBPiazaZ5HgaUbGm4wdskY3+WzGDcH/QCo&#10;xTE+C8uTGZODGkzpQL+hplexG4aY4dizpLvBfAi9fPFNcLFapSTUkmVhY7aWx9IRswjoa/fGnD2j&#10;HpCuJxgkxYp34Pe58U9vV4eAFCRmIr49mmfYUYeJsPObiUL/9Z6yri97+RM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HBGyfgT&#10;AgAAIQQAAA4AAAAAAAAAAAAAAAAALgIAAGRycy9lMm9Eb2MueG1sUEsBAi0AFAAGAAgAAAAhAEHJ&#10;7oXaAAAABAEAAA8AAAAAAAAAAAAAAAAAbQQAAGRycy9kb3ducmV2LnhtbFBLBQYAAAAABAAEAPMA&#10;AAB0BQAAAAA=&#10;" filled="f" stroked="f">
              <v:fill o:detectmouseclick="t"/>
              <v:textbox style="mso-fit-shape-to-text:t" inset="20pt,0,0,15pt">
                <w:txbxContent>
                  <w:p w14:paraId="64D8820E" w14:textId="61024739" w:rsidR="006C5DC0" w:rsidRPr="006C5DC0" w:rsidRDefault="006C5DC0" w:rsidP="006C5DC0">
                    <w:pPr>
                      <w:spacing w:after="0"/>
                      <w:rPr>
                        <w:rFonts w:cs="Calibri"/>
                        <w:noProof/>
                        <w:color w:val="000000"/>
                      </w:rPr>
                    </w:pPr>
                    <w:r w:rsidRPr="006C5DC0">
                      <w:rPr>
                        <w:rFonts w:cs="Calibri"/>
                        <w:noProof/>
                        <w:color w:val="000000"/>
                      </w:rPr>
                      <w:t>OFFICIAL</w:t>
                    </w:r>
                  </w:p>
                </w:txbxContent>
              </v:textbox>
              <w10:wrap anchorx="page" anchory="page"/>
            </v:shape>
          </w:pict>
        </mc:Fallback>
      </mc:AlternateContent>
    </w:r>
    <w:r w:rsidR="006F187D" w:rsidRPr="00783BEE">
      <w:t>Consumer</w:t>
    </w:r>
    <w:r w:rsidR="00B556A3">
      <w:t xml:space="preserve"> </w:t>
    </w:r>
    <w:r w:rsidR="006F187D" w:rsidRPr="00783BEE">
      <w:t>Affairs</w:t>
    </w:r>
    <w:r w:rsidR="00B556A3">
      <w:t xml:space="preserve"> </w:t>
    </w:r>
    <w:r w:rsidR="006F187D">
      <w:t>Victoria:</w:t>
    </w:r>
    <w:r w:rsidR="00B556A3">
      <w:t xml:space="preserve"> </w:t>
    </w:r>
    <w:r w:rsidR="006F187D">
      <w:t>Annual</w:t>
    </w:r>
    <w:r w:rsidR="00B556A3">
      <w:t xml:space="preserve"> </w:t>
    </w:r>
    <w:r w:rsidR="006F187D">
      <w:t>Report</w:t>
    </w:r>
    <w:r w:rsidR="00B556A3">
      <w:t xml:space="preserve"> </w:t>
    </w:r>
    <w:r w:rsidR="006F187D">
      <w:t>20</w:t>
    </w:r>
    <w:r w:rsidR="00D56D64">
      <w:t>2</w:t>
    </w:r>
    <w:r w:rsidR="00B556A3">
      <w:t>3</w:t>
    </w:r>
    <w:r w:rsidR="00D56D64">
      <w:t>–2</w:t>
    </w:r>
    <w:r w:rsidR="00B556A3">
      <w:t>4</w:t>
    </w:r>
    <w:r w:rsidR="006F187D">
      <w:ptab w:relativeTo="margin" w:alignment="right" w:leader="none"/>
    </w:r>
    <w:r w:rsidR="006F187D" w:rsidRPr="00783BEE">
      <w:fldChar w:fldCharType="begin"/>
    </w:r>
    <w:r w:rsidR="006F187D" w:rsidRPr="00783BEE">
      <w:instrText xml:space="preserve"> PAGE   \* MERGEFORMAT </w:instrText>
    </w:r>
    <w:r w:rsidR="006F187D" w:rsidRPr="00783BEE">
      <w:fldChar w:fldCharType="separate"/>
    </w:r>
    <w:r w:rsidR="006F187D">
      <w:rPr>
        <w:noProof/>
      </w:rPr>
      <w:t>41</w:t>
    </w:r>
    <w:r w:rsidR="006F187D" w:rsidRPr="00783BE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1A2F" w14:textId="683468BF" w:rsidR="006C5DC0" w:rsidRDefault="006C5DC0">
    <w:pPr>
      <w:pStyle w:val="Footer"/>
    </w:pPr>
    <w:r>
      <w:rPr>
        <w:noProof/>
      </w:rPr>
      <mc:AlternateContent>
        <mc:Choice Requires="wps">
          <w:drawing>
            <wp:anchor distT="0" distB="0" distL="0" distR="0" simplePos="0" relativeHeight="251658240" behindDoc="0" locked="0" layoutInCell="1" allowOverlap="1" wp14:anchorId="3DA3674A" wp14:editId="2319677C">
              <wp:simplePos x="901700" y="10236200"/>
              <wp:positionH relativeFrom="page">
                <wp:align>left</wp:align>
              </wp:positionH>
              <wp:positionV relativeFrom="page">
                <wp:align>bottom</wp:align>
              </wp:positionV>
              <wp:extent cx="759460" cy="374650"/>
              <wp:effectExtent l="0" t="0" r="2540" b="0"/>
              <wp:wrapNone/>
              <wp:docPr id="65831963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B8FF8BE" w14:textId="7D46447F" w:rsidR="006C5DC0" w:rsidRPr="006C5DC0" w:rsidRDefault="006C5DC0" w:rsidP="006C5DC0">
                          <w:pPr>
                            <w:spacing w:after="0"/>
                            <w:rPr>
                              <w:rFonts w:cs="Calibri"/>
                              <w:noProof/>
                              <w:color w:val="000000"/>
                            </w:rPr>
                          </w:pPr>
                          <w:r w:rsidRPr="006C5DC0">
                            <w:rPr>
                              <w:rFonts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A3674A" id="_x0000_t202" coordsize="21600,21600" o:spt="202" path="m,l,21600r21600,l21600,xe">
              <v:stroke joinstyle="miter"/>
              <v:path gradientshapeok="t" o:connecttype="rect"/>
            </v:shapetype>
            <v:shape id="Text Box 1" o:spid="_x0000_s1028" type="#_x0000_t202" alt="OFFICIAL" style="position:absolute;margin-left:0;margin-top:0;width:59.8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fill o:detectmouseclick="t"/>
              <v:textbox style="mso-fit-shape-to-text:t" inset="20pt,0,0,15pt">
                <w:txbxContent>
                  <w:p w14:paraId="1B8FF8BE" w14:textId="7D46447F" w:rsidR="006C5DC0" w:rsidRPr="006C5DC0" w:rsidRDefault="006C5DC0" w:rsidP="006C5DC0">
                    <w:pPr>
                      <w:spacing w:after="0"/>
                      <w:rPr>
                        <w:rFonts w:cs="Calibri"/>
                        <w:noProof/>
                        <w:color w:val="000000"/>
                      </w:rPr>
                    </w:pPr>
                    <w:r w:rsidRPr="006C5DC0">
                      <w:rPr>
                        <w:rFonts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65652" w14:textId="5993A42D" w:rsidR="006F187D" w:rsidRPr="00856AFB" w:rsidRDefault="00856AFB" w:rsidP="00856AFB">
      <w:pPr>
        <w:spacing w:before="200" w:after="120" w:line="240" w:lineRule="auto"/>
        <w:rPr>
          <w:rFonts w:ascii="Arial" w:hAnsi="Arial" w:cs="Arial"/>
          <w:sz w:val="8"/>
          <w:szCs w:val="8"/>
        </w:rPr>
      </w:pPr>
      <w:r w:rsidRPr="00856AFB">
        <w:rPr>
          <w:rFonts w:ascii="Arial" w:hAnsi="Arial" w:cs="Arial"/>
          <w:sz w:val="8"/>
          <w:szCs w:val="8"/>
        </w:rPr>
        <w:separator/>
      </w:r>
    </w:p>
  </w:footnote>
  <w:footnote w:type="continuationSeparator" w:id="0">
    <w:p w14:paraId="7D728B39" w14:textId="327CB8A8" w:rsidR="006F187D" w:rsidRDefault="006F187D" w:rsidP="00C71F11">
      <w:pPr>
        <w:spacing w:after="0" w:line="240" w:lineRule="auto"/>
      </w:pPr>
      <w:r>
        <w:continuationSeparator/>
      </w:r>
    </w:p>
    <w:p w14:paraId="2E540BA2" w14:textId="77777777" w:rsidR="006F187D" w:rsidRDefault="006F187D"/>
    <w:p w14:paraId="544502F1" w14:textId="77777777" w:rsidR="006F187D" w:rsidRDefault="006F187D"/>
    <w:p w14:paraId="2EBE0AE3" w14:textId="77777777" w:rsidR="006F187D" w:rsidRDefault="006F187D"/>
    <w:p w14:paraId="5935D54E" w14:textId="77777777" w:rsidR="006F187D" w:rsidRDefault="006F187D"/>
  </w:footnote>
  <w:footnote w:type="continuationNotice" w:id="1">
    <w:p w14:paraId="1B519D0B" w14:textId="775395A6" w:rsidR="006F187D" w:rsidRDefault="006F187D">
      <w:pPr>
        <w:spacing w:after="0" w:line="240" w:lineRule="auto"/>
      </w:pPr>
    </w:p>
    <w:p w14:paraId="25027D99" w14:textId="77777777" w:rsidR="006F187D" w:rsidRDefault="006F187D"/>
    <w:p w14:paraId="061B29B1" w14:textId="77777777" w:rsidR="006F187D" w:rsidRDefault="006F187D"/>
    <w:p w14:paraId="75742922" w14:textId="77777777" w:rsidR="006F187D" w:rsidRDefault="006F187D"/>
    <w:p w14:paraId="1546F981" w14:textId="77777777" w:rsidR="006F187D" w:rsidRDefault="006F187D"/>
  </w:footnote>
  <w:footnote w:id="2">
    <w:p w14:paraId="4AFFAF98" w14:textId="77777777" w:rsidR="005D12F7" w:rsidRDefault="005D12F7" w:rsidP="005D12F7">
      <w:pPr>
        <w:pStyle w:val="FootnoteText"/>
      </w:pPr>
      <w:r w:rsidRPr="00C70E98">
        <w:footnoteRef/>
      </w:r>
      <w:r w:rsidRPr="00C70E98">
        <w:tab/>
      </w:r>
      <w:r>
        <w:t>Changed in August 2024; throughout 2023–24, we were part of the Customer and Regulatory Services group.</w:t>
      </w:r>
    </w:p>
  </w:footnote>
  <w:footnote w:id="3">
    <w:p w14:paraId="4E0045F7" w14:textId="77777777" w:rsidR="005D12F7" w:rsidRDefault="005D12F7" w:rsidP="005D12F7">
      <w:pPr>
        <w:pStyle w:val="FootnoteText"/>
      </w:pPr>
      <w:r w:rsidRPr="00F14BC0">
        <w:footnoteRef/>
      </w:r>
      <w:r w:rsidRPr="00F14BC0">
        <w:tab/>
      </w:r>
      <w:r>
        <w:t>The Estate Agents Council operated for all of 2023–24 but has discontinued since 1 July 2024 following changes to legislation.</w:t>
      </w:r>
    </w:p>
  </w:footnote>
  <w:footnote w:id="4">
    <w:p w14:paraId="7B88F635" w14:textId="77777777" w:rsidR="005D12F7" w:rsidRDefault="005D12F7" w:rsidP="005D12F7">
      <w:pPr>
        <w:pStyle w:val="FootnoteText"/>
      </w:pPr>
      <w:r w:rsidRPr="00F14BC0">
        <w:footnoteRef/>
      </w:r>
      <w:r w:rsidRPr="00F14BC0">
        <w:tab/>
      </w:r>
      <w:r>
        <w:t>The lower 2023–24 actual is due to ongoing service model changes that promote online advice where appropriate, while ensuring telephone support for those who need it.</w:t>
      </w:r>
    </w:p>
  </w:footnote>
  <w:footnote w:id="5">
    <w:p w14:paraId="505A5B85" w14:textId="77777777" w:rsidR="005D12F7" w:rsidRDefault="005D12F7" w:rsidP="005D12F7">
      <w:pPr>
        <w:pStyle w:val="FootnoteText"/>
      </w:pPr>
      <w:r w:rsidRPr="00F14BC0">
        <w:footnoteRef/>
      </w:r>
      <w:r w:rsidRPr="00F14BC0">
        <w:tab/>
      </w:r>
      <w:r>
        <w:t>The higher 2023–24 actual is due to an increase in compliance inspections and investigations (including product safety inspections).</w:t>
      </w:r>
    </w:p>
  </w:footnote>
  <w:footnote w:id="6">
    <w:p w14:paraId="3575D85B" w14:textId="77777777" w:rsidR="005D12F7" w:rsidRDefault="005D12F7" w:rsidP="005D12F7">
      <w:pPr>
        <w:pStyle w:val="FootnoteText"/>
      </w:pPr>
      <w:r w:rsidRPr="00F14BC0">
        <w:footnoteRef/>
      </w:r>
      <w:r w:rsidRPr="00F14BC0">
        <w:tab/>
      </w:r>
      <w:r>
        <w:t>Please note that previous CAV annual reports incorrectly reported 494,809 for 2021–22, which is now corrected.</w:t>
      </w:r>
    </w:p>
  </w:footnote>
  <w:footnote w:id="7">
    <w:p w14:paraId="04F9E923" w14:textId="77777777" w:rsidR="005D12F7" w:rsidRDefault="005D12F7" w:rsidP="005D12F7">
      <w:pPr>
        <w:pStyle w:val="FootnoteText"/>
      </w:pPr>
      <w:r w:rsidRPr="00F14BC0">
        <w:footnoteRef/>
      </w:r>
      <w:r w:rsidRPr="00F14BC0">
        <w:tab/>
      </w:r>
      <w:r>
        <w:t>The higher 2023–24 actual is due to increased demand for financial counselling support from family violence victims and survivors.</w:t>
      </w:r>
    </w:p>
  </w:footnote>
  <w:footnote w:id="8">
    <w:p w14:paraId="0271A189" w14:textId="77777777" w:rsidR="005D12F7" w:rsidRDefault="005D12F7" w:rsidP="005D12F7">
      <w:pPr>
        <w:pStyle w:val="FootnoteText"/>
      </w:pPr>
      <w:r w:rsidRPr="00F14BC0">
        <w:footnoteRef/>
      </w:r>
      <w:r w:rsidRPr="00F14BC0">
        <w:tab/>
      </w:r>
      <w:r>
        <w:t>The actual costs are higher than the published target predominantly due to one-off funding received during 2023–24 for the purpose of providing customer support for those impacted by Porter Davis Homes and other liquidated builders not covered by domestic building insurance, and for financial counselling and renter services for Victorians impacted by floods.</w:t>
      </w:r>
    </w:p>
  </w:footnote>
  <w:footnote w:id="9">
    <w:p w14:paraId="501BE522" w14:textId="3240FAE0" w:rsidR="00D65A12" w:rsidRPr="00D65A12" w:rsidRDefault="00D65A12">
      <w:pPr>
        <w:pStyle w:val="FootnoteText"/>
        <w:rPr>
          <w:lang w:val="en-US"/>
        </w:rPr>
      </w:pPr>
      <w:r w:rsidRPr="00D65A12">
        <w:footnoteRef/>
      </w:r>
      <w:r w:rsidRPr="00D65A12">
        <w:tab/>
      </w:r>
      <w:r>
        <w:t>The 2022–23 CAV Annual Report incorrectly reported 415, which is now corrected.</w:t>
      </w:r>
    </w:p>
  </w:footnote>
  <w:footnote w:id="10">
    <w:p w14:paraId="6A76EFD8" w14:textId="2C8F2F7D" w:rsidR="00B33F3A" w:rsidRPr="00B33F3A" w:rsidRDefault="00B33F3A">
      <w:pPr>
        <w:pStyle w:val="FootnoteText"/>
        <w:rPr>
          <w:lang w:val="en-US"/>
        </w:rPr>
      </w:pPr>
      <w:r w:rsidRPr="00B33F3A">
        <w:footnoteRef/>
      </w:r>
      <w:r>
        <w:rPr>
          <w:lang w:val="en-US"/>
        </w:rPr>
        <w:tab/>
      </w:r>
      <w:r w:rsidRPr="00B33F3A">
        <w:rPr>
          <w:lang w:val="en-US"/>
        </w:rPr>
        <w:t>Previously reported incorrectly as 57,967 bond transfers in 2021</w:t>
      </w:r>
      <w:r>
        <w:rPr>
          <w:lang w:val="en-US"/>
        </w:rPr>
        <w:t>–</w:t>
      </w:r>
      <w:r w:rsidRPr="00B33F3A">
        <w:rPr>
          <w:lang w:val="en-US"/>
        </w:rPr>
        <w:t>22 and 67,079 in 2022</w:t>
      </w:r>
      <w:r>
        <w:rPr>
          <w:lang w:val="en-US"/>
        </w:rPr>
        <w:t>–</w:t>
      </w:r>
      <w:r w:rsidRPr="00B33F3A">
        <w:rPr>
          <w:lang w:val="en-US"/>
        </w:rPr>
        <w:t xml:space="preserve">23, </w:t>
      </w:r>
      <w:r>
        <w:rPr>
          <w:lang w:val="en-US"/>
        </w:rPr>
        <w:br/>
      </w:r>
      <w:r w:rsidRPr="00B33F3A">
        <w:rPr>
          <w:lang w:val="en-US"/>
        </w:rPr>
        <w:t>which are now corrected</w:t>
      </w:r>
    </w:p>
  </w:footnote>
  <w:footnote w:id="11">
    <w:p w14:paraId="3E8B506A" w14:textId="77777777" w:rsidR="00A80A93" w:rsidRDefault="00A80A93" w:rsidP="00A80A93">
      <w:pPr>
        <w:pStyle w:val="FootnoteText"/>
      </w:pPr>
      <w:r w:rsidRPr="003A6263">
        <w:footnoteRef/>
      </w:r>
      <w:r w:rsidRPr="003A6263">
        <w:tab/>
      </w:r>
      <w:r>
        <w:t>Includes both licensed individuals and licensed companies.</w:t>
      </w:r>
    </w:p>
  </w:footnote>
  <w:footnote w:id="12">
    <w:p w14:paraId="7DABFC45" w14:textId="77777777" w:rsidR="00A80A93" w:rsidRDefault="00A80A93" w:rsidP="00A80A93">
      <w:pPr>
        <w:pStyle w:val="FootnoteText"/>
      </w:pPr>
      <w:r w:rsidRPr="003A6263">
        <w:footnoteRef/>
      </w:r>
      <w:r w:rsidRPr="003A6263">
        <w:tab/>
      </w:r>
      <w:r>
        <w:t>Agents’ representatives are not registered directly; instead, licensed estate agents notify the Business Licensing Authority when a representative commences employment. This figure is based on these notifications.</w:t>
      </w:r>
    </w:p>
  </w:footnote>
  <w:footnote w:id="13">
    <w:p w14:paraId="7F88510F" w14:textId="77777777" w:rsidR="00A80A93" w:rsidRDefault="00A80A93" w:rsidP="00A80A93">
      <w:pPr>
        <w:pStyle w:val="FootnoteText"/>
      </w:pPr>
      <w:r w:rsidRPr="003A6263">
        <w:footnoteRef/>
      </w:r>
      <w:r w:rsidRPr="003A6263">
        <w:tab/>
      </w:r>
      <w:r>
        <w:t xml:space="preserve">The </w:t>
      </w:r>
      <w:r w:rsidRPr="00C70E98">
        <w:rPr>
          <w:rStyle w:val="Emphasis"/>
        </w:rPr>
        <w:t>Sex Work Act 1994</w:t>
      </w:r>
      <w:r>
        <w:t xml:space="preserve"> was repealed on 1 December 2023.</w:t>
      </w:r>
    </w:p>
  </w:footnote>
  <w:footnote w:id="14">
    <w:p w14:paraId="108F48E1" w14:textId="77777777" w:rsidR="00A80A93" w:rsidRDefault="00A80A93" w:rsidP="00A80A93">
      <w:pPr>
        <w:pStyle w:val="FootnoteText"/>
      </w:pPr>
      <w:r w:rsidRPr="003A6263">
        <w:footnoteRef/>
      </w:r>
      <w:r w:rsidRPr="003A6263">
        <w:tab/>
      </w:r>
      <w:r>
        <w:t xml:space="preserve">The </w:t>
      </w:r>
      <w:r w:rsidRPr="00C70E98">
        <w:rPr>
          <w:rStyle w:val="Emphasis"/>
        </w:rPr>
        <w:t>Sex Work Act 1994</w:t>
      </w:r>
      <w:r>
        <w:t xml:space="preserve"> was repealed on 1 December 2023.</w:t>
      </w:r>
    </w:p>
  </w:footnote>
  <w:footnote w:id="15">
    <w:p w14:paraId="711AC54B" w14:textId="5765F04F" w:rsidR="002D477F" w:rsidRDefault="002D477F" w:rsidP="002D477F">
      <w:pPr>
        <w:pStyle w:val="FootnoteText"/>
      </w:pPr>
      <w:r w:rsidRPr="002B7224">
        <w:footnoteRef/>
      </w:r>
      <w:r w:rsidRPr="002B7224">
        <w:tab/>
      </w:r>
      <w:r>
        <w:t xml:space="preserve">The </w:t>
      </w:r>
      <w:r w:rsidRPr="00912E0E">
        <w:rPr>
          <w:rStyle w:val="Emphasis"/>
        </w:rPr>
        <w:t>Sex Work Act 1994</w:t>
      </w:r>
      <w:r>
        <w:t xml:space="preserve"> was repealed on 1 December 2023 and the Sex Work Regulation Fund ceased operation on 30 June 2024.</w:t>
      </w:r>
    </w:p>
  </w:footnote>
  <w:footnote w:id="16">
    <w:p w14:paraId="5B8E0B88" w14:textId="4699EDB7" w:rsidR="002D477F" w:rsidRDefault="002D477F" w:rsidP="002D477F">
      <w:pPr>
        <w:pStyle w:val="FootnoteText"/>
      </w:pPr>
      <w:r w:rsidRPr="002B7224">
        <w:footnoteRef/>
      </w:r>
      <w:r w:rsidRPr="002B7224">
        <w:tab/>
      </w:r>
      <w:r>
        <w:t>The Estate Agents Council operated for all of 2023–24 but has since discontinued following changes to legislation.</w:t>
      </w:r>
    </w:p>
  </w:footnote>
  <w:footnote w:id="17">
    <w:p w14:paraId="3B410D86" w14:textId="77777777" w:rsidR="00C4204E" w:rsidRDefault="00C4204E" w:rsidP="00C4204E">
      <w:pPr>
        <w:pStyle w:val="FootnoteText"/>
      </w:pPr>
      <w:r w:rsidRPr="00C4204E">
        <w:footnoteRef/>
      </w:r>
      <w:r w:rsidRPr="00C4204E">
        <w:tab/>
      </w:r>
      <w:r>
        <w:t>Domestic Building Dispute Levy and Registration Fees.</w:t>
      </w:r>
    </w:p>
  </w:footnote>
  <w:footnote w:id="18">
    <w:p w14:paraId="2F2409A7" w14:textId="3E3BE073" w:rsidR="00C4204E" w:rsidRDefault="00C4204E" w:rsidP="00C4204E">
      <w:pPr>
        <w:pStyle w:val="FootnoteText"/>
      </w:pPr>
      <w:r w:rsidRPr="00C4204E">
        <w:footnoteRef/>
      </w:r>
      <w:r w:rsidRPr="00C4204E">
        <w:tab/>
      </w:r>
      <w:r>
        <w:t>Some of the 1 July 2023 opening balances differ from the 30 June 2023 closing balances reported in the CAV 2022–23 annual report by small amounts. The figures published in last year’s report were correct at the time but subsequently updated due to rounding and other minor adjustments in finalising the accounts. Total closing equity last year was adjusted by $8,443.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48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34A5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4EF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20E4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4A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2B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CC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446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4D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8864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16393"/>
    <w:multiLevelType w:val="multilevel"/>
    <w:tmpl w:val="8B9C5D6A"/>
    <w:styleLink w:val="CAVListStyleBullets"/>
    <w:lvl w:ilvl="0">
      <w:start w:val="1"/>
      <w:numFmt w:val="bullet"/>
      <w:lvlText w:val="•"/>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54270D4"/>
    <w:multiLevelType w:val="hybridMultilevel"/>
    <w:tmpl w:val="818EB0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065395"/>
    <w:multiLevelType w:val="hybridMultilevel"/>
    <w:tmpl w:val="8348D64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106B55"/>
    <w:multiLevelType w:val="hybridMultilevel"/>
    <w:tmpl w:val="B264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45F47"/>
    <w:multiLevelType w:val="hybridMultilevel"/>
    <w:tmpl w:val="F880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5A6114"/>
    <w:multiLevelType w:val="hybridMultilevel"/>
    <w:tmpl w:val="AE403FA6"/>
    <w:lvl w:ilvl="0" w:tplc="8F74EDB4">
      <w:start w:val="1"/>
      <w:numFmt w:val="bullet"/>
      <w:lvlText w:val=""/>
      <w:lvlJc w:val="left"/>
      <w:pPr>
        <w:tabs>
          <w:tab w:val="num" w:pos="851"/>
        </w:tabs>
        <w:ind w:left="851" w:hanging="284"/>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A74DF"/>
    <w:multiLevelType w:val="hybridMultilevel"/>
    <w:tmpl w:val="D6A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EE46CD"/>
    <w:multiLevelType w:val="hybridMultilevel"/>
    <w:tmpl w:val="5F7CA888"/>
    <w:lvl w:ilvl="0" w:tplc="F8765A4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73B3E"/>
    <w:multiLevelType w:val="hybridMultilevel"/>
    <w:tmpl w:val="FDE4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495426"/>
    <w:multiLevelType w:val="hybridMultilevel"/>
    <w:tmpl w:val="1BB8D97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22F30DF7"/>
    <w:multiLevelType w:val="hybridMultilevel"/>
    <w:tmpl w:val="F732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947FC"/>
    <w:multiLevelType w:val="multilevel"/>
    <w:tmpl w:val="A88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B3190C"/>
    <w:multiLevelType w:val="hybridMultilevel"/>
    <w:tmpl w:val="DF88031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32D70CCF"/>
    <w:multiLevelType w:val="hybridMultilevel"/>
    <w:tmpl w:val="4EAEF642"/>
    <w:lvl w:ilvl="0" w:tplc="14E4BDA0">
      <w:start w:val="1"/>
      <w:numFmt w:val="decimal"/>
      <w:lvlText w:val="%1."/>
      <w:lvlJc w:val="left"/>
      <w:pPr>
        <w:ind w:left="397" w:hanging="397"/>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2E13FF"/>
    <w:multiLevelType w:val="hybridMultilevel"/>
    <w:tmpl w:val="3EC2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2785C"/>
    <w:multiLevelType w:val="multilevel"/>
    <w:tmpl w:val="8B9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37DD1"/>
    <w:multiLevelType w:val="hybridMultilevel"/>
    <w:tmpl w:val="134A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E1F1A"/>
    <w:multiLevelType w:val="hybridMultilevel"/>
    <w:tmpl w:val="183E646A"/>
    <w:lvl w:ilvl="0" w:tplc="BC3CCCD8">
      <w:start w:val="1"/>
      <w:numFmt w:val="bulle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AC733A"/>
    <w:multiLevelType w:val="hybridMultilevel"/>
    <w:tmpl w:val="B5D6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4191D"/>
    <w:multiLevelType w:val="hybridMultilevel"/>
    <w:tmpl w:val="4672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94059E"/>
    <w:multiLevelType w:val="hybridMultilevel"/>
    <w:tmpl w:val="7844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B61156"/>
    <w:multiLevelType w:val="multilevel"/>
    <w:tmpl w:val="8ABE064E"/>
    <w:styleLink w:val="ZZListBullets"/>
    <w:lvl w:ilvl="0">
      <w:start w:val="1"/>
      <w:numFmt w:val="bullet"/>
      <w:pStyle w:val="ListBullet"/>
      <w:lvlText w:val="•"/>
      <w:lvlJc w:val="left"/>
      <w:pPr>
        <w:ind w:left="284" w:hanging="284"/>
      </w:pPr>
      <w:rPr>
        <w:rFonts w:ascii="Calibri" w:hAnsi="Calibri" w:hint="default"/>
      </w:rPr>
    </w:lvl>
    <w:lvl w:ilvl="1">
      <w:numFmt w:val="bullet"/>
      <w:lvlRestart w:val="0"/>
      <w:pStyle w:val="ListBullet2"/>
      <w:lvlText w:val="–"/>
      <w:lvlJc w:val="left"/>
      <w:pPr>
        <w:ind w:left="567" w:hanging="283"/>
      </w:pPr>
      <w:rPr>
        <w:rFonts w:ascii="Calibri" w:hAnsi="Calibri"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2" w15:restartNumberingAfterBreak="0">
    <w:nsid w:val="483E28E2"/>
    <w:multiLevelType w:val="hybridMultilevel"/>
    <w:tmpl w:val="9574F4EE"/>
    <w:lvl w:ilvl="0" w:tplc="7548AAB0">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014BF"/>
    <w:multiLevelType w:val="hybridMultilevel"/>
    <w:tmpl w:val="4C30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012922"/>
    <w:multiLevelType w:val="hybridMultilevel"/>
    <w:tmpl w:val="54B4D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A6CF6"/>
    <w:multiLevelType w:val="hybridMultilevel"/>
    <w:tmpl w:val="B6D4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FC02C0"/>
    <w:multiLevelType w:val="hybridMultilevel"/>
    <w:tmpl w:val="5058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D13DC4"/>
    <w:multiLevelType w:val="hybridMultilevel"/>
    <w:tmpl w:val="AC7A3D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4507075">
    <w:abstractNumId w:val="28"/>
  </w:num>
  <w:num w:numId="2" w16cid:durableId="1080297500">
    <w:abstractNumId w:val="12"/>
  </w:num>
  <w:num w:numId="3" w16cid:durableId="2013415474">
    <w:abstractNumId w:val="22"/>
  </w:num>
  <w:num w:numId="4" w16cid:durableId="1511220616">
    <w:abstractNumId w:val="23"/>
  </w:num>
  <w:num w:numId="5" w16cid:durableId="1144468203">
    <w:abstractNumId w:val="18"/>
  </w:num>
  <w:num w:numId="6" w16cid:durableId="1803573751">
    <w:abstractNumId w:val="19"/>
  </w:num>
  <w:num w:numId="7" w16cid:durableId="1259366875">
    <w:abstractNumId w:val="10"/>
  </w:num>
  <w:num w:numId="8" w16cid:durableId="534777360">
    <w:abstractNumId w:val="24"/>
  </w:num>
  <w:num w:numId="9" w16cid:durableId="488519805">
    <w:abstractNumId w:val="25"/>
  </w:num>
  <w:num w:numId="10" w16cid:durableId="1772629259">
    <w:abstractNumId w:val="20"/>
  </w:num>
  <w:num w:numId="11" w16cid:durableId="803351209">
    <w:abstractNumId w:val="11"/>
  </w:num>
  <w:num w:numId="12" w16cid:durableId="2128310588">
    <w:abstractNumId w:val="27"/>
  </w:num>
  <w:num w:numId="13" w16cid:durableId="891620716">
    <w:abstractNumId w:val="29"/>
  </w:num>
  <w:num w:numId="14" w16cid:durableId="236400486">
    <w:abstractNumId w:val="21"/>
  </w:num>
  <w:num w:numId="15" w16cid:durableId="1102726869">
    <w:abstractNumId w:val="26"/>
  </w:num>
  <w:num w:numId="16" w16cid:durableId="841121019">
    <w:abstractNumId w:val="17"/>
  </w:num>
  <w:num w:numId="17" w16cid:durableId="1506096131">
    <w:abstractNumId w:val="13"/>
  </w:num>
  <w:num w:numId="18" w16cid:durableId="706874525">
    <w:abstractNumId w:val="15"/>
  </w:num>
  <w:num w:numId="19" w16cid:durableId="564337777">
    <w:abstractNumId w:val="37"/>
  </w:num>
  <w:num w:numId="20" w16cid:durableId="1070536314">
    <w:abstractNumId w:val="30"/>
  </w:num>
  <w:num w:numId="21" w16cid:durableId="1318067524">
    <w:abstractNumId w:val="33"/>
  </w:num>
  <w:num w:numId="22" w16cid:durableId="841242281">
    <w:abstractNumId w:val="34"/>
  </w:num>
  <w:num w:numId="23" w16cid:durableId="1060784712">
    <w:abstractNumId w:val="32"/>
  </w:num>
  <w:num w:numId="24" w16cid:durableId="1542397534">
    <w:abstractNumId w:val="16"/>
  </w:num>
  <w:num w:numId="25" w16cid:durableId="1570073383">
    <w:abstractNumId w:val="35"/>
  </w:num>
  <w:num w:numId="26" w16cid:durableId="1278218731">
    <w:abstractNumId w:val="36"/>
  </w:num>
  <w:num w:numId="27" w16cid:durableId="1578898999">
    <w:abstractNumId w:val="14"/>
  </w:num>
  <w:num w:numId="28" w16cid:durableId="174538978">
    <w:abstractNumId w:val="9"/>
  </w:num>
  <w:num w:numId="29" w16cid:durableId="1897858772">
    <w:abstractNumId w:val="7"/>
  </w:num>
  <w:num w:numId="30" w16cid:durableId="353923576">
    <w:abstractNumId w:val="8"/>
  </w:num>
  <w:num w:numId="31" w16cid:durableId="1374890061">
    <w:abstractNumId w:val="3"/>
  </w:num>
  <w:num w:numId="32" w16cid:durableId="1221479507">
    <w:abstractNumId w:val="8"/>
    <w:lvlOverride w:ilvl="0">
      <w:startOverride w:val="1"/>
    </w:lvlOverride>
  </w:num>
  <w:num w:numId="33" w16cid:durableId="367024211">
    <w:abstractNumId w:val="6"/>
  </w:num>
  <w:num w:numId="34" w16cid:durableId="1530530608">
    <w:abstractNumId w:val="5"/>
  </w:num>
  <w:num w:numId="35" w16cid:durableId="1460496382">
    <w:abstractNumId w:val="4"/>
  </w:num>
  <w:num w:numId="36" w16cid:durableId="1656101097">
    <w:abstractNumId w:val="2"/>
  </w:num>
  <w:num w:numId="37" w16cid:durableId="703553969">
    <w:abstractNumId w:val="1"/>
  </w:num>
  <w:num w:numId="38" w16cid:durableId="1248660191">
    <w:abstractNumId w:val="0"/>
  </w:num>
  <w:num w:numId="39" w16cid:durableId="9414970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characterSpacingControl w:val="doNotCompress"/>
  <w:hdrShapeDefaults>
    <o:shapedefaults v:ext="edit" spidmax="16281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80"/>
    <w:rsid w:val="000067F2"/>
    <w:rsid w:val="00006DE3"/>
    <w:rsid w:val="000113E0"/>
    <w:rsid w:val="00012D80"/>
    <w:rsid w:val="00020B2C"/>
    <w:rsid w:val="00021DA6"/>
    <w:rsid w:val="00023337"/>
    <w:rsid w:val="0002752D"/>
    <w:rsid w:val="00030169"/>
    <w:rsid w:val="00031B1C"/>
    <w:rsid w:val="00035675"/>
    <w:rsid w:val="000359C2"/>
    <w:rsid w:val="000406ED"/>
    <w:rsid w:val="00040AF8"/>
    <w:rsid w:val="00041B76"/>
    <w:rsid w:val="00042358"/>
    <w:rsid w:val="00045784"/>
    <w:rsid w:val="00050E63"/>
    <w:rsid w:val="00052A73"/>
    <w:rsid w:val="00052AFF"/>
    <w:rsid w:val="00056D7F"/>
    <w:rsid w:val="000575CA"/>
    <w:rsid w:val="0006192A"/>
    <w:rsid w:val="00062049"/>
    <w:rsid w:val="00064594"/>
    <w:rsid w:val="00064C94"/>
    <w:rsid w:val="0006613F"/>
    <w:rsid w:val="000662A2"/>
    <w:rsid w:val="00076AA6"/>
    <w:rsid w:val="000772C6"/>
    <w:rsid w:val="00077DCC"/>
    <w:rsid w:val="00080476"/>
    <w:rsid w:val="00082EC2"/>
    <w:rsid w:val="00084111"/>
    <w:rsid w:val="00084F8C"/>
    <w:rsid w:val="00086AF2"/>
    <w:rsid w:val="00091597"/>
    <w:rsid w:val="000965E1"/>
    <w:rsid w:val="000A16BF"/>
    <w:rsid w:val="000A4BC7"/>
    <w:rsid w:val="000A4D4B"/>
    <w:rsid w:val="000A74E4"/>
    <w:rsid w:val="000A7D79"/>
    <w:rsid w:val="000B151C"/>
    <w:rsid w:val="000B176A"/>
    <w:rsid w:val="000B7932"/>
    <w:rsid w:val="000C1F95"/>
    <w:rsid w:val="000C2B36"/>
    <w:rsid w:val="000C5AA2"/>
    <w:rsid w:val="000C7BFD"/>
    <w:rsid w:val="000D0E83"/>
    <w:rsid w:val="000D3108"/>
    <w:rsid w:val="000D3E79"/>
    <w:rsid w:val="000D42DF"/>
    <w:rsid w:val="000D4FAE"/>
    <w:rsid w:val="000E344B"/>
    <w:rsid w:val="000F3E1B"/>
    <w:rsid w:val="000F504E"/>
    <w:rsid w:val="000F5315"/>
    <w:rsid w:val="000F63E3"/>
    <w:rsid w:val="000F719D"/>
    <w:rsid w:val="001034D1"/>
    <w:rsid w:val="001035E3"/>
    <w:rsid w:val="0010370A"/>
    <w:rsid w:val="00104254"/>
    <w:rsid w:val="00107B62"/>
    <w:rsid w:val="00110D4C"/>
    <w:rsid w:val="00112400"/>
    <w:rsid w:val="0011415A"/>
    <w:rsid w:val="00120E5A"/>
    <w:rsid w:val="00122E20"/>
    <w:rsid w:val="00122EB0"/>
    <w:rsid w:val="00122F87"/>
    <w:rsid w:val="00124014"/>
    <w:rsid w:val="00132675"/>
    <w:rsid w:val="00134625"/>
    <w:rsid w:val="00134A2A"/>
    <w:rsid w:val="001369DC"/>
    <w:rsid w:val="0014134E"/>
    <w:rsid w:val="0014204E"/>
    <w:rsid w:val="0014272B"/>
    <w:rsid w:val="00142DE7"/>
    <w:rsid w:val="00143662"/>
    <w:rsid w:val="0014701D"/>
    <w:rsid w:val="00150C87"/>
    <w:rsid w:val="001510E8"/>
    <w:rsid w:val="00151EF4"/>
    <w:rsid w:val="00155192"/>
    <w:rsid w:val="001556C0"/>
    <w:rsid w:val="00155B9A"/>
    <w:rsid w:val="00156239"/>
    <w:rsid w:val="00156617"/>
    <w:rsid w:val="00160E40"/>
    <w:rsid w:val="00163339"/>
    <w:rsid w:val="0016680E"/>
    <w:rsid w:val="00171D5F"/>
    <w:rsid w:val="0017389E"/>
    <w:rsid w:val="00177DC1"/>
    <w:rsid w:val="001809C5"/>
    <w:rsid w:val="00181631"/>
    <w:rsid w:val="001864FB"/>
    <w:rsid w:val="00187474"/>
    <w:rsid w:val="0018758D"/>
    <w:rsid w:val="0019153A"/>
    <w:rsid w:val="00192B14"/>
    <w:rsid w:val="00194F1B"/>
    <w:rsid w:val="001A1A0A"/>
    <w:rsid w:val="001A3474"/>
    <w:rsid w:val="001B12D8"/>
    <w:rsid w:val="001B2499"/>
    <w:rsid w:val="001B396A"/>
    <w:rsid w:val="001B4898"/>
    <w:rsid w:val="001C0A36"/>
    <w:rsid w:val="001C330C"/>
    <w:rsid w:val="001C3C79"/>
    <w:rsid w:val="001C410E"/>
    <w:rsid w:val="001C50E6"/>
    <w:rsid w:val="001C56C0"/>
    <w:rsid w:val="001D144A"/>
    <w:rsid w:val="001E0DD0"/>
    <w:rsid w:val="001E5B35"/>
    <w:rsid w:val="001F6E72"/>
    <w:rsid w:val="00201270"/>
    <w:rsid w:val="00201342"/>
    <w:rsid w:val="00204AE7"/>
    <w:rsid w:val="00211EFF"/>
    <w:rsid w:val="00215056"/>
    <w:rsid w:val="00217576"/>
    <w:rsid w:val="00224C4B"/>
    <w:rsid w:val="002255C8"/>
    <w:rsid w:val="00225994"/>
    <w:rsid w:val="00226FBE"/>
    <w:rsid w:val="00232A4C"/>
    <w:rsid w:val="002334B6"/>
    <w:rsid w:val="0023482B"/>
    <w:rsid w:val="002352A5"/>
    <w:rsid w:val="00244EF7"/>
    <w:rsid w:val="002457A3"/>
    <w:rsid w:val="0024584B"/>
    <w:rsid w:val="0024724B"/>
    <w:rsid w:val="002515E1"/>
    <w:rsid w:val="0025416A"/>
    <w:rsid w:val="00256840"/>
    <w:rsid w:val="002718C7"/>
    <w:rsid w:val="00271A02"/>
    <w:rsid w:val="00275C07"/>
    <w:rsid w:val="00275D03"/>
    <w:rsid w:val="0027662D"/>
    <w:rsid w:val="002776C0"/>
    <w:rsid w:val="0027789E"/>
    <w:rsid w:val="00277A02"/>
    <w:rsid w:val="00281B8A"/>
    <w:rsid w:val="002853DB"/>
    <w:rsid w:val="002875FA"/>
    <w:rsid w:val="002876F2"/>
    <w:rsid w:val="00295CF5"/>
    <w:rsid w:val="002A0546"/>
    <w:rsid w:val="002A3CA6"/>
    <w:rsid w:val="002A5ECC"/>
    <w:rsid w:val="002B3B90"/>
    <w:rsid w:val="002B7224"/>
    <w:rsid w:val="002B74E5"/>
    <w:rsid w:val="002C08C6"/>
    <w:rsid w:val="002C0AA0"/>
    <w:rsid w:val="002C3944"/>
    <w:rsid w:val="002C5076"/>
    <w:rsid w:val="002D316F"/>
    <w:rsid w:val="002D477F"/>
    <w:rsid w:val="002D7EB3"/>
    <w:rsid w:val="002E4FF0"/>
    <w:rsid w:val="002F063F"/>
    <w:rsid w:val="002F22DF"/>
    <w:rsid w:val="002F48D7"/>
    <w:rsid w:val="002F5743"/>
    <w:rsid w:val="002F5F13"/>
    <w:rsid w:val="002F6DD5"/>
    <w:rsid w:val="003055D0"/>
    <w:rsid w:val="00306289"/>
    <w:rsid w:val="00306DAE"/>
    <w:rsid w:val="003118E2"/>
    <w:rsid w:val="00311EE4"/>
    <w:rsid w:val="00312562"/>
    <w:rsid w:val="00314ABC"/>
    <w:rsid w:val="003151CE"/>
    <w:rsid w:val="00315661"/>
    <w:rsid w:val="00320590"/>
    <w:rsid w:val="00320BE0"/>
    <w:rsid w:val="0032140C"/>
    <w:rsid w:val="00321A0C"/>
    <w:rsid w:val="00321B25"/>
    <w:rsid w:val="00323337"/>
    <w:rsid w:val="00323F40"/>
    <w:rsid w:val="0032485B"/>
    <w:rsid w:val="00325C37"/>
    <w:rsid w:val="0032615F"/>
    <w:rsid w:val="00330156"/>
    <w:rsid w:val="00332305"/>
    <w:rsid w:val="00332BF3"/>
    <w:rsid w:val="00333E76"/>
    <w:rsid w:val="003346A8"/>
    <w:rsid w:val="00336935"/>
    <w:rsid w:val="003369A3"/>
    <w:rsid w:val="00336D25"/>
    <w:rsid w:val="003379FA"/>
    <w:rsid w:val="00342EAB"/>
    <w:rsid w:val="00344045"/>
    <w:rsid w:val="00347F6C"/>
    <w:rsid w:val="003544EC"/>
    <w:rsid w:val="00355028"/>
    <w:rsid w:val="003641AB"/>
    <w:rsid w:val="0036577F"/>
    <w:rsid w:val="00366166"/>
    <w:rsid w:val="00370249"/>
    <w:rsid w:val="003719B9"/>
    <w:rsid w:val="003725FC"/>
    <w:rsid w:val="00372D46"/>
    <w:rsid w:val="00373B3B"/>
    <w:rsid w:val="00376E0E"/>
    <w:rsid w:val="003802F6"/>
    <w:rsid w:val="00380D27"/>
    <w:rsid w:val="003833C8"/>
    <w:rsid w:val="0038367D"/>
    <w:rsid w:val="00383C48"/>
    <w:rsid w:val="00384747"/>
    <w:rsid w:val="00384BF6"/>
    <w:rsid w:val="003913BB"/>
    <w:rsid w:val="003932B1"/>
    <w:rsid w:val="0039426F"/>
    <w:rsid w:val="003A2203"/>
    <w:rsid w:val="003A23B1"/>
    <w:rsid w:val="003A2F75"/>
    <w:rsid w:val="003A6263"/>
    <w:rsid w:val="003B43FE"/>
    <w:rsid w:val="003B47C4"/>
    <w:rsid w:val="003B545A"/>
    <w:rsid w:val="003B6722"/>
    <w:rsid w:val="003B79FA"/>
    <w:rsid w:val="003C1B11"/>
    <w:rsid w:val="003C4F38"/>
    <w:rsid w:val="003C5053"/>
    <w:rsid w:val="003C53F3"/>
    <w:rsid w:val="003C5B62"/>
    <w:rsid w:val="003C78F2"/>
    <w:rsid w:val="003D009B"/>
    <w:rsid w:val="003D3259"/>
    <w:rsid w:val="003D4D1D"/>
    <w:rsid w:val="003D521F"/>
    <w:rsid w:val="003D666F"/>
    <w:rsid w:val="003E061F"/>
    <w:rsid w:val="003E3F2D"/>
    <w:rsid w:val="003E4C99"/>
    <w:rsid w:val="003E5E4C"/>
    <w:rsid w:val="003F183F"/>
    <w:rsid w:val="003F25B0"/>
    <w:rsid w:val="003F327D"/>
    <w:rsid w:val="003F5D67"/>
    <w:rsid w:val="003F5F99"/>
    <w:rsid w:val="003F6265"/>
    <w:rsid w:val="00400AFE"/>
    <w:rsid w:val="00402906"/>
    <w:rsid w:val="00405DA7"/>
    <w:rsid w:val="00407B8E"/>
    <w:rsid w:val="004104CB"/>
    <w:rsid w:val="00410D44"/>
    <w:rsid w:val="00410EF4"/>
    <w:rsid w:val="0041175F"/>
    <w:rsid w:val="004166EA"/>
    <w:rsid w:val="00416A25"/>
    <w:rsid w:val="004211EB"/>
    <w:rsid w:val="0042297C"/>
    <w:rsid w:val="00422C46"/>
    <w:rsid w:val="00430D03"/>
    <w:rsid w:val="004311F8"/>
    <w:rsid w:val="00431A7C"/>
    <w:rsid w:val="00433461"/>
    <w:rsid w:val="00433859"/>
    <w:rsid w:val="00433A4A"/>
    <w:rsid w:val="00435045"/>
    <w:rsid w:val="00435C2C"/>
    <w:rsid w:val="0044031A"/>
    <w:rsid w:val="00440488"/>
    <w:rsid w:val="00444135"/>
    <w:rsid w:val="00452669"/>
    <w:rsid w:val="00452C50"/>
    <w:rsid w:val="0045425D"/>
    <w:rsid w:val="004555A8"/>
    <w:rsid w:val="00455A12"/>
    <w:rsid w:val="004603E1"/>
    <w:rsid w:val="00461D0C"/>
    <w:rsid w:val="004641BD"/>
    <w:rsid w:val="00464373"/>
    <w:rsid w:val="004645C0"/>
    <w:rsid w:val="00464A7E"/>
    <w:rsid w:val="004657E1"/>
    <w:rsid w:val="004702BE"/>
    <w:rsid w:val="0047465C"/>
    <w:rsid w:val="00476A12"/>
    <w:rsid w:val="0048011B"/>
    <w:rsid w:val="004804BA"/>
    <w:rsid w:val="00483EF3"/>
    <w:rsid w:val="004840FA"/>
    <w:rsid w:val="004842F6"/>
    <w:rsid w:val="00484D0A"/>
    <w:rsid w:val="004851FB"/>
    <w:rsid w:val="00486872"/>
    <w:rsid w:val="00486A5D"/>
    <w:rsid w:val="00492B18"/>
    <w:rsid w:val="004967EC"/>
    <w:rsid w:val="00496AB9"/>
    <w:rsid w:val="004A02E4"/>
    <w:rsid w:val="004A4969"/>
    <w:rsid w:val="004B411F"/>
    <w:rsid w:val="004B59DF"/>
    <w:rsid w:val="004B67E1"/>
    <w:rsid w:val="004B6CD0"/>
    <w:rsid w:val="004C0801"/>
    <w:rsid w:val="004C0ADA"/>
    <w:rsid w:val="004C2D08"/>
    <w:rsid w:val="004C66BC"/>
    <w:rsid w:val="004D0490"/>
    <w:rsid w:val="004D0BA4"/>
    <w:rsid w:val="004D56A7"/>
    <w:rsid w:val="004D744A"/>
    <w:rsid w:val="004D7DD4"/>
    <w:rsid w:val="004D7E60"/>
    <w:rsid w:val="004E05CC"/>
    <w:rsid w:val="004E0BCF"/>
    <w:rsid w:val="004E1927"/>
    <w:rsid w:val="004E4902"/>
    <w:rsid w:val="004E6BE4"/>
    <w:rsid w:val="004F0321"/>
    <w:rsid w:val="004F061C"/>
    <w:rsid w:val="004F75BD"/>
    <w:rsid w:val="004F765E"/>
    <w:rsid w:val="005003AA"/>
    <w:rsid w:val="005020E1"/>
    <w:rsid w:val="005038A8"/>
    <w:rsid w:val="00506885"/>
    <w:rsid w:val="00512FB0"/>
    <w:rsid w:val="00513074"/>
    <w:rsid w:val="0051734E"/>
    <w:rsid w:val="005222D9"/>
    <w:rsid w:val="00524553"/>
    <w:rsid w:val="00524BC8"/>
    <w:rsid w:val="00526DF1"/>
    <w:rsid w:val="00527D52"/>
    <w:rsid w:val="005349ED"/>
    <w:rsid w:val="00535227"/>
    <w:rsid w:val="00537FC6"/>
    <w:rsid w:val="005419C2"/>
    <w:rsid w:val="00542656"/>
    <w:rsid w:val="00543299"/>
    <w:rsid w:val="00543432"/>
    <w:rsid w:val="00552098"/>
    <w:rsid w:val="00552326"/>
    <w:rsid w:val="00555997"/>
    <w:rsid w:val="00555B77"/>
    <w:rsid w:val="005567D4"/>
    <w:rsid w:val="00556DF5"/>
    <w:rsid w:val="00562C43"/>
    <w:rsid w:val="005638A4"/>
    <w:rsid w:val="00564D6C"/>
    <w:rsid w:val="00570715"/>
    <w:rsid w:val="00570982"/>
    <w:rsid w:val="00570CAD"/>
    <w:rsid w:val="00573381"/>
    <w:rsid w:val="00575180"/>
    <w:rsid w:val="0058055D"/>
    <w:rsid w:val="0058291E"/>
    <w:rsid w:val="00587380"/>
    <w:rsid w:val="005915F2"/>
    <w:rsid w:val="00597C5A"/>
    <w:rsid w:val="005A21FA"/>
    <w:rsid w:val="005A6618"/>
    <w:rsid w:val="005B1D31"/>
    <w:rsid w:val="005B35AF"/>
    <w:rsid w:val="005C0C79"/>
    <w:rsid w:val="005C2B48"/>
    <w:rsid w:val="005C51B2"/>
    <w:rsid w:val="005C6CCD"/>
    <w:rsid w:val="005C7DB4"/>
    <w:rsid w:val="005C7EDC"/>
    <w:rsid w:val="005D12A7"/>
    <w:rsid w:val="005D12F7"/>
    <w:rsid w:val="005D2771"/>
    <w:rsid w:val="005D5646"/>
    <w:rsid w:val="005E393E"/>
    <w:rsid w:val="005F13E6"/>
    <w:rsid w:val="005F1BCD"/>
    <w:rsid w:val="005F58AA"/>
    <w:rsid w:val="006018AB"/>
    <w:rsid w:val="00604689"/>
    <w:rsid w:val="00605CF0"/>
    <w:rsid w:val="00607163"/>
    <w:rsid w:val="00607734"/>
    <w:rsid w:val="00610391"/>
    <w:rsid w:val="006136D4"/>
    <w:rsid w:val="006157B7"/>
    <w:rsid w:val="00616491"/>
    <w:rsid w:val="00621D83"/>
    <w:rsid w:val="00624207"/>
    <w:rsid w:val="0062480A"/>
    <w:rsid w:val="00624929"/>
    <w:rsid w:val="00624CAA"/>
    <w:rsid w:val="00625180"/>
    <w:rsid w:val="00631074"/>
    <w:rsid w:val="0063325E"/>
    <w:rsid w:val="0063411C"/>
    <w:rsid w:val="0063446F"/>
    <w:rsid w:val="0063768F"/>
    <w:rsid w:val="0064116B"/>
    <w:rsid w:val="00641860"/>
    <w:rsid w:val="00644683"/>
    <w:rsid w:val="00646284"/>
    <w:rsid w:val="00646671"/>
    <w:rsid w:val="00647A02"/>
    <w:rsid w:val="00647CC3"/>
    <w:rsid w:val="006524E8"/>
    <w:rsid w:val="00653983"/>
    <w:rsid w:val="00654297"/>
    <w:rsid w:val="00654592"/>
    <w:rsid w:val="006546F2"/>
    <w:rsid w:val="00654C98"/>
    <w:rsid w:val="0066310A"/>
    <w:rsid w:val="006674B6"/>
    <w:rsid w:val="00671F59"/>
    <w:rsid w:val="0067302D"/>
    <w:rsid w:val="00673898"/>
    <w:rsid w:val="006746D5"/>
    <w:rsid w:val="00674866"/>
    <w:rsid w:val="00675216"/>
    <w:rsid w:val="00676450"/>
    <w:rsid w:val="00676836"/>
    <w:rsid w:val="00676BE9"/>
    <w:rsid w:val="0068108F"/>
    <w:rsid w:val="00682029"/>
    <w:rsid w:val="00682042"/>
    <w:rsid w:val="006832C1"/>
    <w:rsid w:val="006960B9"/>
    <w:rsid w:val="006A447C"/>
    <w:rsid w:val="006A44B1"/>
    <w:rsid w:val="006B0F6A"/>
    <w:rsid w:val="006B51F3"/>
    <w:rsid w:val="006C3CC1"/>
    <w:rsid w:val="006C5DC0"/>
    <w:rsid w:val="006D6A04"/>
    <w:rsid w:val="006D76BE"/>
    <w:rsid w:val="006E0D11"/>
    <w:rsid w:val="006E113C"/>
    <w:rsid w:val="006E194B"/>
    <w:rsid w:val="006E2DB8"/>
    <w:rsid w:val="006F0C9B"/>
    <w:rsid w:val="006F187D"/>
    <w:rsid w:val="006F4C0B"/>
    <w:rsid w:val="006F57E8"/>
    <w:rsid w:val="006F608E"/>
    <w:rsid w:val="006F7BE3"/>
    <w:rsid w:val="00700C5E"/>
    <w:rsid w:val="00701A7C"/>
    <w:rsid w:val="00711FF9"/>
    <w:rsid w:val="00713E14"/>
    <w:rsid w:val="00716A03"/>
    <w:rsid w:val="007174AB"/>
    <w:rsid w:val="00722D2C"/>
    <w:rsid w:val="00724BD6"/>
    <w:rsid w:val="0072626D"/>
    <w:rsid w:val="00731D68"/>
    <w:rsid w:val="00732553"/>
    <w:rsid w:val="00733F03"/>
    <w:rsid w:val="007350A4"/>
    <w:rsid w:val="00735A3B"/>
    <w:rsid w:val="00742620"/>
    <w:rsid w:val="00742A5C"/>
    <w:rsid w:val="00743C19"/>
    <w:rsid w:val="00743E4B"/>
    <w:rsid w:val="00744281"/>
    <w:rsid w:val="007470E2"/>
    <w:rsid w:val="0075245A"/>
    <w:rsid w:val="00753B06"/>
    <w:rsid w:val="0075486A"/>
    <w:rsid w:val="0075750A"/>
    <w:rsid w:val="00767BD4"/>
    <w:rsid w:val="00770601"/>
    <w:rsid w:val="0077304F"/>
    <w:rsid w:val="00773AA7"/>
    <w:rsid w:val="00773D96"/>
    <w:rsid w:val="00777C8E"/>
    <w:rsid w:val="0078191F"/>
    <w:rsid w:val="00783BEE"/>
    <w:rsid w:val="00785126"/>
    <w:rsid w:val="0078661E"/>
    <w:rsid w:val="0079033F"/>
    <w:rsid w:val="00792F91"/>
    <w:rsid w:val="007935D2"/>
    <w:rsid w:val="00793BF9"/>
    <w:rsid w:val="0079591B"/>
    <w:rsid w:val="007959A9"/>
    <w:rsid w:val="00796CC5"/>
    <w:rsid w:val="00797D7C"/>
    <w:rsid w:val="007A0FAA"/>
    <w:rsid w:val="007A2137"/>
    <w:rsid w:val="007A2663"/>
    <w:rsid w:val="007A3757"/>
    <w:rsid w:val="007A3786"/>
    <w:rsid w:val="007A404D"/>
    <w:rsid w:val="007A49A6"/>
    <w:rsid w:val="007A4B26"/>
    <w:rsid w:val="007A5331"/>
    <w:rsid w:val="007A655A"/>
    <w:rsid w:val="007A66C2"/>
    <w:rsid w:val="007A75A8"/>
    <w:rsid w:val="007B1576"/>
    <w:rsid w:val="007B200E"/>
    <w:rsid w:val="007B6433"/>
    <w:rsid w:val="007B6E26"/>
    <w:rsid w:val="007C1C7B"/>
    <w:rsid w:val="007C1EED"/>
    <w:rsid w:val="007C34FA"/>
    <w:rsid w:val="007C37DD"/>
    <w:rsid w:val="007D188A"/>
    <w:rsid w:val="007D235B"/>
    <w:rsid w:val="007D39F7"/>
    <w:rsid w:val="007D59ED"/>
    <w:rsid w:val="007D750A"/>
    <w:rsid w:val="007E4229"/>
    <w:rsid w:val="007E454A"/>
    <w:rsid w:val="007F21DE"/>
    <w:rsid w:val="007F620E"/>
    <w:rsid w:val="007F7301"/>
    <w:rsid w:val="00802CE4"/>
    <w:rsid w:val="00804AB6"/>
    <w:rsid w:val="00805CBE"/>
    <w:rsid w:val="008150FD"/>
    <w:rsid w:val="00817D14"/>
    <w:rsid w:val="008225EF"/>
    <w:rsid w:val="0082547B"/>
    <w:rsid w:val="00830E55"/>
    <w:rsid w:val="00834159"/>
    <w:rsid w:val="00834561"/>
    <w:rsid w:val="0083734C"/>
    <w:rsid w:val="0084359B"/>
    <w:rsid w:val="008451CB"/>
    <w:rsid w:val="00846760"/>
    <w:rsid w:val="00856AFB"/>
    <w:rsid w:val="008570CA"/>
    <w:rsid w:val="0086119C"/>
    <w:rsid w:val="008621E5"/>
    <w:rsid w:val="00863663"/>
    <w:rsid w:val="00865C50"/>
    <w:rsid w:val="008661E1"/>
    <w:rsid w:val="00867443"/>
    <w:rsid w:val="00867E8A"/>
    <w:rsid w:val="0087028F"/>
    <w:rsid w:val="00872738"/>
    <w:rsid w:val="008734EB"/>
    <w:rsid w:val="00876740"/>
    <w:rsid w:val="008800C6"/>
    <w:rsid w:val="00880587"/>
    <w:rsid w:val="00883165"/>
    <w:rsid w:val="00885906"/>
    <w:rsid w:val="008962BD"/>
    <w:rsid w:val="00896A7C"/>
    <w:rsid w:val="0089767F"/>
    <w:rsid w:val="008A134C"/>
    <w:rsid w:val="008A1B58"/>
    <w:rsid w:val="008A2567"/>
    <w:rsid w:val="008A5248"/>
    <w:rsid w:val="008A66FE"/>
    <w:rsid w:val="008A75EF"/>
    <w:rsid w:val="008B12F9"/>
    <w:rsid w:val="008B141D"/>
    <w:rsid w:val="008B1747"/>
    <w:rsid w:val="008B53D8"/>
    <w:rsid w:val="008C1BE0"/>
    <w:rsid w:val="008C3AD5"/>
    <w:rsid w:val="008C5A12"/>
    <w:rsid w:val="008C6D11"/>
    <w:rsid w:val="008D7EFA"/>
    <w:rsid w:val="008E1660"/>
    <w:rsid w:val="008E44BD"/>
    <w:rsid w:val="008E6B10"/>
    <w:rsid w:val="008F07FE"/>
    <w:rsid w:val="008F2BD9"/>
    <w:rsid w:val="008F4AB1"/>
    <w:rsid w:val="00901F97"/>
    <w:rsid w:val="00902C22"/>
    <w:rsid w:val="009031C0"/>
    <w:rsid w:val="009055D9"/>
    <w:rsid w:val="0090722D"/>
    <w:rsid w:val="009114B7"/>
    <w:rsid w:val="0091162E"/>
    <w:rsid w:val="00911E04"/>
    <w:rsid w:val="00912E0E"/>
    <w:rsid w:val="00914245"/>
    <w:rsid w:val="00916163"/>
    <w:rsid w:val="00921F95"/>
    <w:rsid w:val="009229EE"/>
    <w:rsid w:val="00922A21"/>
    <w:rsid w:val="00923264"/>
    <w:rsid w:val="00925FF5"/>
    <w:rsid w:val="00930316"/>
    <w:rsid w:val="00934136"/>
    <w:rsid w:val="009368F4"/>
    <w:rsid w:val="00940BF1"/>
    <w:rsid w:val="00941062"/>
    <w:rsid w:val="00942470"/>
    <w:rsid w:val="0094275C"/>
    <w:rsid w:val="0094409D"/>
    <w:rsid w:val="00955130"/>
    <w:rsid w:val="009564E9"/>
    <w:rsid w:val="009569B2"/>
    <w:rsid w:val="00965DC0"/>
    <w:rsid w:val="00973A16"/>
    <w:rsid w:val="00973EC1"/>
    <w:rsid w:val="00974789"/>
    <w:rsid w:val="009750F4"/>
    <w:rsid w:val="009812F7"/>
    <w:rsid w:val="00984EE2"/>
    <w:rsid w:val="009860BF"/>
    <w:rsid w:val="00986354"/>
    <w:rsid w:val="00986E1E"/>
    <w:rsid w:val="009913D8"/>
    <w:rsid w:val="009932A1"/>
    <w:rsid w:val="00995B04"/>
    <w:rsid w:val="0099615E"/>
    <w:rsid w:val="009A28FC"/>
    <w:rsid w:val="009A5322"/>
    <w:rsid w:val="009A58E3"/>
    <w:rsid w:val="009A5D08"/>
    <w:rsid w:val="009A7231"/>
    <w:rsid w:val="009B0FC1"/>
    <w:rsid w:val="009B2409"/>
    <w:rsid w:val="009B302A"/>
    <w:rsid w:val="009B4066"/>
    <w:rsid w:val="009B4514"/>
    <w:rsid w:val="009B486B"/>
    <w:rsid w:val="009C1064"/>
    <w:rsid w:val="009C1266"/>
    <w:rsid w:val="009C226D"/>
    <w:rsid w:val="009C46FB"/>
    <w:rsid w:val="009C4C18"/>
    <w:rsid w:val="009C5F00"/>
    <w:rsid w:val="009C77A0"/>
    <w:rsid w:val="009D153A"/>
    <w:rsid w:val="009D64E4"/>
    <w:rsid w:val="009E527F"/>
    <w:rsid w:val="009F0D4B"/>
    <w:rsid w:val="009F40AB"/>
    <w:rsid w:val="009F69D8"/>
    <w:rsid w:val="009F76FB"/>
    <w:rsid w:val="009F79CB"/>
    <w:rsid w:val="00A01A33"/>
    <w:rsid w:val="00A03F43"/>
    <w:rsid w:val="00A048DA"/>
    <w:rsid w:val="00A0641C"/>
    <w:rsid w:val="00A10A1B"/>
    <w:rsid w:val="00A11832"/>
    <w:rsid w:val="00A178C0"/>
    <w:rsid w:val="00A17D48"/>
    <w:rsid w:val="00A22F65"/>
    <w:rsid w:val="00A231D9"/>
    <w:rsid w:val="00A25744"/>
    <w:rsid w:val="00A26139"/>
    <w:rsid w:val="00A30ADD"/>
    <w:rsid w:val="00A37095"/>
    <w:rsid w:val="00A3768B"/>
    <w:rsid w:val="00A41E9C"/>
    <w:rsid w:val="00A4311B"/>
    <w:rsid w:val="00A433D9"/>
    <w:rsid w:val="00A446E5"/>
    <w:rsid w:val="00A46E9E"/>
    <w:rsid w:val="00A47141"/>
    <w:rsid w:val="00A509E4"/>
    <w:rsid w:val="00A54548"/>
    <w:rsid w:val="00A548EF"/>
    <w:rsid w:val="00A55D56"/>
    <w:rsid w:val="00A560FA"/>
    <w:rsid w:val="00A60484"/>
    <w:rsid w:val="00A61C24"/>
    <w:rsid w:val="00A61C76"/>
    <w:rsid w:val="00A61DA5"/>
    <w:rsid w:val="00A61E43"/>
    <w:rsid w:val="00A6563E"/>
    <w:rsid w:val="00A660B5"/>
    <w:rsid w:val="00A66856"/>
    <w:rsid w:val="00A66C4F"/>
    <w:rsid w:val="00A66F3D"/>
    <w:rsid w:val="00A73103"/>
    <w:rsid w:val="00A73820"/>
    <w:rsid w:val="00A75F3C"/>
    <w:rsid w:val="00A762B1"/>
    <w:rsid w:val="00A765B2"/>
    <w:rsid w:val="00A76634"/>
    <w:rsid w:val="00A80A93"/>
    <w:rsid w:val="00A81648"/>
    <w:rsid w:val="00A82BDC"/>
    <w:rsid w:val="00A8331C"/>
    <w:rsid w:val="00A83F96"/>
    <w:rsid w:val="00A9006E"/>
    <w:rsid w:val="00A9379F"/>
    <w:rsid w:val="00A95B5B"/>
    <w:rsid w:val="00A95E63"/>
    <w:rsid w:val="00AA5C2C"/>
    <w:rsid w:val="00AB0C30"/>
    <w:rsid w:val="00AB2468"/>
    <w:rsid w:val="00AB3F8F"/>
    <w:rsid w:val="00AB40B8"/>
    <w:rsid w:val="00AB5289"/>
    <w:rsid w:val="00AB5EBE"/>
    <w:rsid w:val="00AB604F"/>
    <w:rsid w:val="00AB72A6"/>
    <w:rsid w:val="00AC11EC"/>
    <w:rsid w:val="00AC142D"/>
    <w:rsid w:val="00AC7C0D"/>
    <w:rsid w:val="00AD1B0A"/>
    <w:rsid w:val="00AD2B07"/>
    <w:rsid w:val="00AD429A"/>
    <w:rsid w:val="00AD45E8"/>
    <w:rsid w:val="00AD49B7"/>
    <w:rsid w:val="00AE0408"/>
    <w:rsid w:val="00AE374E"/>
    <w:rsid w:val="00AE4B06"/>
    <w:rsid w:val="00AF1C8B"/>
    <w:rsid w:val="00AF252C"/>
    <w:rsid w:val="00AF5E57"/>
    <w:rsid w:val="00B00608"/>
    <w:rsid w:val="00B0122B"/>
    <w:rsid w:val="00B04B74"/>
    <w:rsid w:val="00B14F5B"/>
    <w:rsid w:val="00B17387"/>
    <w:rsid w:val="00B20526"/>
    <w:rsid w:val="00B20F92"/>
    <w:rsid w:val="00B33030"/>
    <w:rsid w:val="00B33F3A"/>
    <w:rsid w:val="00B34E68"/>
    <w:rsid w:val="00B35A06"/>
    <w:rsid w:val="00B434B7"/>
    <w:rsid w:val="00B45028"/>
    <w:rsid w:val="00B4504C"/>
    <w:rsid w:val="00B4559F"/>
    <w:rsid w:val="00B46CB4"/>
    <w:rsid w:val="00B4776C"/>
    <w:rsid w:val="00B47AE6"/>
    <w:rsid w:val="00B5056D"/>
    <w:rsid w:val="00B5207C"/>
    <w:rsid w:val="00B556A3"/>
    <w:rsid w:val="00B6073B"/>
    <w:rsid w:val="00B61B3E"/>
    <w:rsid w:val="00B63D30"/>
    <w:rsid w:val="00B65A4B"/>
    <w:rsid w:val="00B67745"/>
    <w:rsid w:val="00B71611"/>
    <w:rsid w:val="00B74A1F"/>
    <w:rsid w:val="00B75A3A"/>
    <w:rsid w:val="00B8015C"/>
    <w:rsid w:val="00B8137B"/>
    <w:rsid w:val="00B840D0"/>
    <w:rsid w:val="00B92DA9"/>
    <w:rsid w:val="00BA1C6E"/>
    <w:rsid w:val="00BA4037"/>
    <w:rsid w:val="00BA5EC4"/>
    <w:rsid w:val="00BA73CD"/>
    <w:rsid w:val="00BB1712"/>
    <w:rsid w:val="00BB1C65"/>
    <w:rsid w:val="00BC0C25"/>
    <w:rsid w:val="00BC0F49"/>
    <w:rsid w:val="00BC1A18"/>
    <w:rsid w:val="00BC2848"/>
    <w:rsid w:val="00BC3086"/>
    <w:rsid w:val="00BC710E"/>
    <w:rsid w:val="00BD3E39"/>
    <w:rsid w:val="00BE26A8"/>
    <w:rsid w:val="00BE2991"/>
    <w:rsid w:val="00BE38F4"/>
    <w:rsid w:val="00BE6921"/>
    <w:rsid w:val="00BF1C17"/>
    <w:rsid w:val="00BF1DDE"/>
    <w:rsid w:val="00BF2582"/>
    <w:rsid w:val="00BF3355"/>
    <w:rsid w:val="00BF4177"/>
    <w:rsid w:val="00BF4C8D"/>
    <w:rsid w:val="00C02F22"/>
    <w:rsid w:val="00C04AF5"/>
    <w:rsid w:val="00C076AD"/>
    <w:rsid w:val="00C1109D"/>
    <w:rsid w:val="00C119F0"/>
    <w:rsid w:val="00C126D7"/>
    <w:rsid w:val="00C1318E"/>
    <w:rsid w:val="00C14083"/>
    <w:rsid w:val="00C168AB"/>
    <w:rsid w:val="00C21CCC"/>
    <w:rsid w:val="00C21F93"/>
    <w:rsid w:val="00C23DEB"/>
    <w:rsid w:val="00C24CCD"/>
    <w:rsid w:val="00C26742"/>
    <w:rsid w:val="00C33158"/>
    <w:rsid w:val="00C343DC"/>
    <w:rsid w:val="00C344CE"/>
    <w:rsid w:val="00C4204E"/>
    <w:rsid w:val="00C4593F"/>
    <w:rsid w:val="00C459D9"/>
    <w:rsid w:val="00C46399"/>
    <w:rsid w:val="00C47290"/>
    <w:rsid w:val="00C50534"/>
    <w:rsid w:val="00C55852"/>
    <w:rsid w:val="00C6201E"/>
    <w:rsid w:val="00C659AA"/>
    <w:rsid w:val="00C65EA8"/>
    <w:rsid w:val="00C66D4D"/>
    <w:rsid w:val="00C70E98"/>
    <w:rsid w:val="00C71F11"/>
    <w:rsid w:val="00C720E1"/>
    <w:rsid w:val="00C72669"/>
    <w:rsid w:val="00C74C37"/>
    <w:rsid w:val="00C75A9B"/>
    <w:rsid w:val="00C77B2D"/>
    <w:rsid w:val="00C80444"/>
    <w:rsid w:val="00C84E51"/>
    <w:rsid w:val="00C90E80"/>
    <w:rsid w:val="00C931D0"/>
    <w:rsid w:val="00C968C2"/>
    <w:rsid w:val="00C969DE"/>
    <w:rsid w:val="00CA2659"/>
    <w:rsid w:val="00CA292C"/>
    <w:rsid w:val="00CA3A3D"/>
    <w:rsid w:val="00CA4CBC"/>
    <w:rsid w:val="00CA51C7"/>
    <w:rsid w:val="00CA6435"/>
    <w:rsid w:val="00CB56D1"/>
    <w:rsid w:val="00CB60E1"/>
    <w:rsid w:val="00CC0AD3"/>
    <w:rsid w:val="00CC2D56"/>
    <w:rsid w:val="00CC2DB9"/>
    <w:rsid w:val="00CC5298"/>
    <w:rsid w:val="00CC71B2"/>
    <w:rsid w:val="00CD1FD7"/>
    <w:rsid w:val="00CD3C2E"/>
    <w:rsid w:val="00CE0746"/>
    <w:rsid w:val="00CE2CE5"/>
    <w:rsid w:val="00CE2ED4"/>
    <w:rsid w:val="00CE659C"/>
    <w:rsid w:val="00CE79C3"/>
    <w:rsid w:val="00CE7A30"/>
    <w:rsid w:val="00CF0935"/>
    <w:rsid w:val="00CF1401"/>
    <w:rsid w:val="00CF4293"/>
    <w:rsid w:val="00CF66CA"/>
    <w:rsid w:val="00D0059A"/>
    <w:rsid w:val="00D0096D"/>
    <w:rsid w:val="00D03A6F"/>
    <w:rsid w:val="00D06633"/>
    <w:rsid w:val="00D074DB"/>
    <w:rsid w:val="00D0795D"/>
    <w:rsid w:val="00D13EEA"/>
    <w:rsid w:val="00D1678F"/>
    <w:rsid w:val="00D172EB"/>
    <w:rsid w:val="00D20883"/>
    <w:rsid w:val="00D2163E"/>
    <w:rsid w:val="00D21863"/>
    <w:rsid w:val="00D2321D"/>
    <w:rsid w:val="00D23ECC"/>
    <w:rsid w:val="00D25C43"/>
    <w:rsid w:val="00D261F8"/>
    <w:rsid w:val="00D272EB"/>
    <w:rsid w:val="00D30C2C"/>
    <w:rsid w:val="00D31BFE"/>
    <w:rsid w:val="00D365B6"/>
    <w:rsid w:val="00D366EA"/>
    <w:rsid w:val="00D3688B"/>
    <w:rsid w:val="00D4289C"/>
    <w:rsid w:val="00D47362"/>
    <w:rsid w:val="00D473C9"/>
    <w:rsid w:val="00D51FF2"/>
    <w:rsid w:val="00D524F2"/>
    <w:rsid w:val="00D54B9E"/>
    <w:rsid w:val="00D55621"/>
    <w:rsid w:val="00D56D64"/>
    <w:rsid w:val="00D56F91"/>
    <w:rsid w:val="00D57116"/>
    <w:rsid w:val="00D6001A"/>
    <w:rsid w:val="00D600AA"/>
    <w:rsid w:val="00D60893"/>
    <w:rsid w:val="00D62EFC"/>
    <w:rsid w:val="00D65A12"/>
    <w:rsid w:val="00D666F6"/>
    <w:rsid w:val="00D6675A"/>
    <w:rsid w:val="00D72B9A"/>
    <w:rsid w:val="00D733E1"/>
    <w:rsid w:val="00D73F9D"/>
    <w:rsid w:val="00D76798"/>
    <w:rsid w:val="00D771F4"/>
    <w:rsid w:val="00D7722E"/>
    <w:rsid w:val="00D86219"/>
    <w:rsid w:val="00D86254"/>
    <w:rsid w:val="00D8797C"/>
    <w:rsid w:val="00D90A2F"/>
    <w:rsid w:val="00D92653"/>
    <w:rsid w:val="00D933A2"/>
    <w:rsid w:val="00D9667B"/>
    <w:rsid w:val="00D967BB"/>
    <w:rsid w:val="00D96D58"/>
    <w:rsid w:val="00D97603"/>
    <w:rsid w:val="00DA1B8D"/>
    <w:rsid w:val="00DA3262"/>
    <w:rsid w:val="00DA3E9A"/>
    <w:rsid w:val="00DA50C0"/>
    <w:rsid w:val="00DA685F"/>
    <w:rsid w:val="00DB2D0C"/>
    <w:rsid w:val="00DC0D3F"/>
    <w:rsid w:val="00DC4139"/>
    <w:rsid w:val="00DD7CF3"/>
    <w:rsid w:val="00DE084A"/>
    <w:rsid w:val="00DE3B0D"/>
    <w:rsid w:val="00DE629A"/>
    <w:rsid w:val="00DE723C"/>
    <w:rsid w:val="00DF0BE8"/>
    <w:rsid w:val="00DF586C"/>
    <w:rsid w:val="00DF6358"/>
    <w:rsid w:val="00DF73E7"/>
    <w:rsid w:val="00E0180B"/>
    <w:rsid w:val="00E0216D"/>
    <w:rsid w:val="00E02D71"/>
    <w:rsid w:val="00E12FF0"/>
    <w:rsid w:val="00E15E1B"/>
    <w:rsid w:val="00E15F69"/>
    <w:rsid w:val="00E20138"/>
    <w:rsid w:val="00E21774"/>
    <w:rsid w:val="00E22FCC"/>
    <w:rsid w:val="00E26D06"/>
    <w:rsid w:val="00E316E3"/>
    <w:rsid w:val="00E320F3"/>
    <w:rsid w:val="00E324F1"/>
    <w:rsid w:val="00E33D24"/>
    <w:rsid w:val="00E3430A"/>
    <w:rsid w:val="00E3488C"/>
    <w:rsid w:val="00E3598E"/>
    <w:rsid w:val="00E35F92"/>
    <w:rsid w:val="00E44B22"/>
    <w:rsid w:val="00E44BB1"/>
    <w:rsid w:val="00E5265B"/>
    <w:rsid w:val="00E52787"/>
    <w:rsid w:val="00E56F47"/>
    <w:rsid w:val="00E611C5"/>
    <w:rsid w:val="00E623E3"/>
    <w:rsid w:val="00E63928"/>
    <w:rsid w:val="00E64C56"/>
    <w:rsid w:val="00E72BDE"/>
    <w:rsid w:val="00E769DC"/>
    <w:rsid w:val="00E8019B"/>
    <w:rsid w:val="00E871C1"/>
    <w:rsid w:val="00E87BCB"/>
    <w:rsid w:val="00E93D80"/>
    <w:rsid w:val="00E953DB"/>
    <w:rsid w:val="00E96742"/>
    <w:rsid w:val="00EA01CD"/>
    <w:rsid w:val="00EA166A"/>
    <w:rsid w:val="00EA1DE2"/>
    <w:rsid w:val="00EA437D"/>
    <w:rsid w:val="00EA4A06"/>
    <w:rsid w:val="00EA541C"/>
    <w:rsid w:val="00EA58F3"/>
    <w:rsid w:val="00EA67A5"/>
    <w:rsid w:val="00EB1889"/>
    <w:rsid w:val="00EB465D"/>
    <w:rsid w:val="00EB6E61"/>
    <w:rsid w:val="00EC2E30"/>
    <w:rsid w:val="00EC47EE"/>
    <w:rsid w:val="00EC5022"/>
    <w:rsid w:val="00EC5A1F"/>
    <w:rsid w:val="00ED133B"/>
    <w:rsid w:val="00ED345C"/>
    <w:rsid w:val="00ED4864"/>
    <w:rsid w:val="00ED6A34"/>
    <w:rsid w:val="00ED78BD"/>
    <w:rsid w:val="00EE29E7"/>
    <w:rsid w:val="00EE2EF2"/>
    <w:rsid w:val="00EE3875"/>
    <w:rsid w:val="00EE5B1B"/>
    <w:rsid w:val="00EF0311"/>
    <w:rsid w:val="00EF1095"/>
    <w:rsid w:val="00EF1C6B"/>
    <w:rsid w:val="00EF2417"/>
    <w:rsid w:val="00EF5823"/>
    <w:rsid w:val="00F001C0"/>
    <w:rsid w:val="00F00CF3"/>
    <w:rsid w:val="00F03D10"/>
    <w:rsid w:val="00F04442"/>
    <w:rsid w:val="00F04806"/>
    <w:rsid w:val="00F10516"/>
    <w:rsid w:val="00F130EB"/>
    <w:rsid w:val="00F14BC0"/>
    <w:rsid w:val="00F16268"/>
    <w:rsid w:val="00F164E0"/>
    <w:rsid w:val="00F22B33"/>
    <w:rsid w:val="00F23412"/>
    <w:rsid w:val="00F2784E"/>
    <w:rsid w:val="00F301EA"/>
    <w:rsid w:val="00F3485C"/>
    <w:rsid w:val="00F3632D"/>
    <w:rsid w:val="00F36802"/>
    <w:rsid w:val="00F400E9"/>
    <w:rsid w:val="00F4149E"/>
    <w:rsid w:val="00F41A61"/>
    <w:rsid w:val="00F42046"/>
    <w:rsid w:val="00F420A4"/>
    <w:rsid w:val="00F421E8"/>
    <w:rsid w:val="00F42D0F"/>
    <w:rsid w:val="00F51FB8"/>
    <w:rsid w:val="00F532E2"/>
    <w:rsid w:val="00F55B08"/>
    <w:rsid w:val="00F55E4C"/>
    <w:rsid w:val="00F568B3"/>
    <w:rsid w:val="00F56DD5"/>
    <w:rsid w:val="00F6299A"/>
    <w:rsid w:val="00F657D2"/>
    <w:rsid w:val="00F663C9"/>
    <w:rsid w:val="00F71DC9"/>
    <w:rsid w:val="00F7724B"/>
    <w:rsid w:val="00F86F41"/>
    <w:rsid w:val="00F87043"/>
    <w:rsid w:val="00F90055"/>
    <w:rsid w:val="00F91196"/>
    <w:rsid w:val="00FA03AD"/>
    <w:rsid w:val="00FA1D02"/>
    <w:rsid w:val="00FA2FB5"/>
    <w:rsid w:val="00FB00B6"/>
    <w:rsid w:val="00FB2F9B"/>
    <w:rsid w:val="00FB35C3"/>
    <w:rsid w:val="00FB38BE"/>
    <w:rsid w:val="00FB4DA0"/>
    <w:rsid w:val="00FB4DDA"/>
    <w:rsid w:val="00FB7AB9"/>
    <w:rsid w:val="00FC025D"/>
    <w:rsid w:val="00FC2CA1"/>
    <w:rsid w:val="00FC31F0"/>
    <w:rsid w:val="00FC5621"/>
    <w:rsid w:val="00FC56D9"/>
    <w:rsid w:val="00FD3DDC"/>
    <w:rsid w:val="00FE08DA"/>
    <w:rsid w:val="00FE12BA"/>
    <w:rsid w:val="00FE3D90"/>
    <w:rsid w:val="00FE6587"/>
    <w:rsid w:val="00FE7C21"/>
    <w:rsid w:val="00FF0EE1"/>
    <w:rsid w:val="00FF22A3"/>
    <w:rsid w:val="00FF30B8"/>
    <w:rsid w:val="00FF7A3C"/>
    <w:rsid w:val="00FF7E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4A24B676"/>
  <w15:docId w15:val="{046EB9A6-F3E4-4945-BB38-85519CA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semiHidden="1" w:uiPriority="98" w:qFormat="1"/>
    <w:lsdException w:name="Closing" w:semiHidden="1" w:unhideWhenUsed="1"/>
    <w:lsdException w:name="Signature" w:semiHidden="1" w:unhideWhenUsed="1"/>
    <w:lsdException w:name="Default Paragraph Font" w:semiHidden="1" w:uiPriority="98"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98" w:qFormat="1"/>
    <w:lsdException w:name="Intense Quote" w:semiHidden="1"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98" w:qFormat="1"/>
    <w:lsdException w:name="Intense Reference" w:semiHidden="1" w:uiPriority="98"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CA"/>
    <w:pPr>
      <w:spacing w:after="160" w:line="259" w:lineRule="auto"/>
    </w:pPr>
    <w:rPr>
      <w:sz w:val="22"/>
      <w:szCs w:val="22"/>
      <w:lang w:eastAsia="en-US"/>
    </w:rPr>
  </w:style>
  <w:style w:type="paragraph" w:styleId="Heading1">
    <w:name w:val="heading 1"/>
    <w:basedOn w:val="Normal"/>
    <w:next w:val="Normal"/>
    <w:link w:val="Heading1Char"/>
    <w:uiPriority w:val="9"/>
    <w:qFormat/>
    <w:rsid w:val="00062049"/>
    <w:pPr>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902C22"/>
    <w:pPr>
      <w:keepNext/>
      <w:keepLines/>
      <w:pageBreakBefore/>
      <w:spacing w:after="400" w:line="240" w:lineRule="auto"/>
      <w:outlineLvl w:val="1"/>
    </w:pPr>
    <w:rPr>
      <w:rFonts w:ascii="Arial" w:eastAsia="Times New Roman" w:hAnsi="Arial"/>
      <w:bCs/>
      <w:iCs/>
      <w:sz w:val="44"/>
      <w:szCs w:val="28"/>
    </w:rPr>
  </w:style>
  <w:style w:type="paragraph" w:styleId="Heading3">
    <w:name w:val="heading 3"/>
    <w:basedOn w:val="Normal"/>
    <w:next w:val="Normal"/>
    <w:link w:val="Heading3Char"/>
    <w:uiPriority w:val="9"/>
    <w:unhideWhenUsed/>
    <w:qFormat/>
    <w:rsid w:val="00B4559F"/>
    <w:pPr>
      <w:keepNext/>
      <w:keepLines/>
      <w:spacing w:before="300" w:after="120" w:line="240" w:lineRule="auto"/>
      <w:outlineLvl w:val="2"/>
    </w:pPr>
    <w:rPr>
      <w:rFonts w:ascii="Arial" w:eastAsia="Times New Roman" w:hAnsi="Arial"/>
      <w:b/>
      <w:bCs/>
      <w:color w:val="2464AB"/>
      <w:sz w:val="30"/>
      <w:szCs w:val="28"/>
    </w:rPr>
  </w:style>
  <w:style w:type="paragraph" w:styleId="Heading4">
    <w:name w:val="heading 4"/>
    <w:basedOn w:val="Normal"/>
    <w:next w:val="Normal"/>
    <w:link w:val="Heading4Char"/>
    <w:uiPriority w:val="9"/>
    <w:unhideWhenUsed/>
    <w:qFormat/>
    <w:rsid w:val="00C076AD"/>
    <w:pPr>
      <w:keepNext/>
      <w:keepLines/>
      <w:spacing w:before="300" w:after="120" w:line="240" w:lineRule="auto"/>
      <w:outlineLvl w:val="3"/>
    </w:pPr>
    <w:rPr>
      <w:rFonts w:ascii="Arial" w:eastAsia="Times New Roman" w:hAnsi="Arial"/>
      <w:b/>
      <w:bCs/>
      <w:sz w:val="26"/>
      <w:szCs w:val="26"/>
    </w:rPr>
  </w:style>
  <w:style w:type="paragraph" w:styleId="Heading5">
    <w:name w:val="heading 5"/>
    <w:basedOn w:val="Normal"/>
    <w:next w:val="Normal"/>
    <w:link w:val="Heading5Char"/>
    <w:uiPriority w:val="9"/>
    <w:unhideWhenUsed/>
    <w:qFormat/>
    <w:rsid w:val="00D03A6F"/>
    <w:pPr>
      <w:keepNext/>
      <w:keepLines/>
      <w:spacing w:before="300" w:after="120" w:line="240" w:lineRule="auto"/>
      <w:outlineLvl w:val="4"/>
    </w:pPr>
    <w:rPr>
      <w:rFonts w:ascii="Arial" w:eastAsia="Times New Roman" w:hAnsi="Arial"/>
      <w:b/>
      <w:bCs/>
      <w:iCs/>
      <w:szCs w:val="26"/>
    </w:rPr>
  </w:style>
  <w:style w:type="paragraph" w:styleId="Heading6">
    <w:name w:val="heading 6"/>
    <w:basedOn w:val="Normal"/>
    <w:next w:val="Normal"/>
    <w:link w:val="Heading6Char"/>
    <w:uiPriority w:val="9"/>
    <w:unhideWhenUsed/>
    <w:qFormat/>
    <w:rsid w:val="00DF73E7"/>
    <w:pPr>
      <w:keepNext/>
      <w:keepLines/>
      <w:spacing w:before="240" w:after="60"/>
      <w:outlineLvl w:val="5"/>
    </w:pPr>
    <w:rPr>
      <w:rFonts w:ascii="Arial" w:eastAsia="Times New Roman"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049"/>
    <w:rPr>
      <w:rFonts w:ascii="Arial" w:hAnsi="Arial" w:cs="Arial"/>
      <w:sz w:val="48"/>
      <w:szCs w:val="48"/>
      <w:lang w:eastAsia="en-US"/>
    </w:rPr>
  </w:style>
  <w:style w:type="paragraph" w:customStyle="1" w:styleId="TableText">
    <w:name w:val="Table Text"/>
    <w:basedOn w:val="Normal"/>
    <w:uiPriority w:val="11"/>
    <w:qFormat/>
    <w:rsid w:val="00A178C0"/>
    <w:pPr>
      <w:spacing w:before="80" w:after="60" w:line="240" w:lineRule="auto"/>
    </w:pPr>
    <w:rPr>
      <w:rFonts w:ascii="Arial" w:hAnsi="Arial"/>
      <w:sz w:val="18"/>
    </w:rPr>
  </w:style>
  <w:style w:type="character" w:customStyle="1" w:styleId="Heading2Char">
    <w:name w:val="Heading 2 Char"/>
    <w:link w:val="Heading2"/>
    <w:uiPriority w:val="9"/>
    <w:rsid w:val="00902C22"/>
    <w:rPr>
      <w:rFonts w:ascii="Arial" w:eastAsia="Times New Roman" w:hAnsi="Arial"/>
      <w:bCs/>
      <w:iCs/>
      <w:sz w:val="44"/>
      <w:szCs w:val="28"/>
      <w:lang w:eastAsia="en-US"/>
    </w:rPr>
  </w:style>
  <w:style w:type="character" w:customStyle="1" w:styleId="Heading3Char">
    <w:name w:val="Heading 3 Char"/>
    <w:link w:val="Heading3"/>
    <w:uiPriority w:val="9"/>
    <w:rsid w:val="00B4559F"/>
    <w:rPr>
      <w:rFonts w:ascii="Arial" w:eastAsia="Times New Roman" w:hAnsi="Arial"/>
      <w:b/>
      <w:bCs/>
      <w:color w:val="2464AB"/>
      <w:sz w:val="30"/>
      <w:szCs w:val="28"/>
      <w:lang w:eastAsia="en-US"/>
    </w:rPr>
  </w:style>
  <w:style w:type="paragraph" w:styleId="TOC1">
    <w:name w:val="toc 1"/>
    <w:basedOn w:val="Normal"/>
    <w:next w:val="Normal"/>
    <w:autoRedefine/>
    <w:uiPriority w:val="39"/>
    <w:unhideWhenUsed/>
    <w:rsid w:val="00122E20"/>
    <w:pPr>
      <w:tabs>
        <w:tab w:val="right" w:leader="dot" w:pos="9072"/>
      </w:tabs>
      <w:spacing w:before="200" w:after="80"/>
    </w:pPr>
    <w:rPr>
      <w:rFonts w:ascii="Arial" w:hAnsi="Arial"/>
      <w:b/>
      <w:sz w:val="20"/>
    </w:rPr>
  </w:style>
  <w:style w:type="paragraph" w:styleId="TOC2">
    <w:name w:val="toc 2"/>
    <w:basedOn w:val="Normal"/>
    <w:next w:val="Normal"/>
    <w:autoRedefine/>
    <w:uiPriority w:val="39"/>
    <w:unhideWhenUsed/>
    <w:rsid w:val="004B59DF"/>
    <w:pPr>
      <w:tabs>
        <w:tab w:val="right" w:leader="dot" w:pos="9072"/>
      </w:tabs>
      <w:spacing w:before="120" w:after="120" w:line="240" w:lineRule="auto"/>
    </w:pPr>
    <w:rPr>
      <w:rFonts w:ascii="Arial" w:hAnsi="Arial"/>
      <w:noProof/>
      <w:sz w:val="20"/>
    </w:rPr>
  </w:style>
  <w:style w:type="paragraph" w:styleId="TOC3">
    <w:name w:val="toc 3"/>
    <w:basedOn w:val="Normal"/>
    <w:next w:val="Normal"/>
    <w:autoRedefine/>
    <w:uiPriority w:val="39"/>
    <w:unhideWhenUsed/>
    <w:rsid w:val="00C90E80"/>
    <w:pPr>
      <w:ind w:left="440"/>
    </w:pPr>
  </w:style>
  <w:style w:type="character" w:styleId="Hyperlink">
    <w:name w:val="Hyperlink"/>
    <w:uiPriority w:val="99"/>
    <w:unhideWhenUsed/>
    <w:rsid w:val="00B4559F"/>
    <w:rPr>
      <w:color w:val="2464AB"/>
      <w:u w:val="single"/>
    </w:rPr>
  </w:style>
  <w:style w:type="paragraph" w:styleId="BodyText">
    <w:name w:val="Body Text"/>
    <w:link w:val="BodyTextChar"/>
    <w:uiPriority w:val="99"/>
    <w:rsid w:val="00D51FF2"/>
    <w:pPr>
      <w:spacing w:before="160" w:after="160" w:line="312" w:lineRule="auto"/>
    </w:pPr>
    <w:rPr>
      <w:rFonts w:ascii="Arial" w:eastAsia="Times New Roman" w:hAnsi="Arial" w:cs="Arial"/>
      <w:szCs w:val="24"/>
      <w:lang w:eastAsia="en-US"/>
    </w:rPr>
  </w:style>
  <w:style w:type="character" w:customStyle="1" w:styleId="BodyTextChar">
    <w:name w:val="Body Text Char"/>
    <w:link w:val="BodyText"/>
    <w:uiPriority w:val="99"/>
    <w:rsid w:val="00D51FF2"/>
    <w:rPr>
      <w:rFonts w:ascii="Arial" w:eastAsia="Times New Roman" w:hAnsi="Arial" w:cs="Arial"/>
      <w:szCs w:val="24"/>
      <w:lang w:eastAsia="en-US"/>
    </w:rPr>
  </w:style>
  <w:style w:type="paragraph" w:customStyle="1" w:styleId="TableColHead">
    <w:name w:val="Table Col Head"/>
    <w:basedOn w:val="Normal"/>
    <w:uiPriority w:val="11"/>
    <w:qFormat/>
    <w:rsid w:val="00934136"/>
    <w:pPr>
      <w:spacing w:before="80" w:after="60" w:line="240" w:lineRule="auto"/>
    </w:pPr>
    <w:rPr>
      <w:rFonts w:ascii="Arial" w:hAnsi="Arial" w:cs="Arial"/>
      <w:b/>
      <w:color w:val="FFFFFF"/>
      <w:sz w:val="18"/>
      <w:szCs w:val="18"/>
    </w:rPr>
  </w:style>
  <w:style w:type="paragraph" w:customStyle="1" w:styleId="TableTextRight">
    <w:name w:val="Table Text Right"/>
    <w:basedOn w:val="TableText"/>
    <w:qFormat/>
    <w:rsid w:val="008C1BE0"/>
    <w:pPr>
      <w:jc w:val="right"/>
    </w:pPr>
  </w:style>
  <w:style w:type="table" w:styleId="TableGrid">
    <w:name w:val="Table Grid"/>
    <w:basedOn w:val="TableNormal"/>
    <w:uiPriority w:val="39"/>
    <w:rsid w:val="006674B6"/>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EF1F9"/>
    </w:tcPr>
    <w:tblStylePr w:type="firstRow">
      <w:tblPr/>
      <w:tcPr>
        <w:shd w:val="clear" w:color="auto" w:fill="2464AB"/>
        <w:vAlign w:val="bottom"/>
      </w:tcPr>
    </w:tblStylePr>
  </w:style>
  <w:style w:type="paragraph" w:styleId="Header">
    <w:name w:val="header"/>
    <w:basedOn w:val="Normal"/>
    <w:link w:val="HeaderChar"/>
    <w:uiPriority w:val="99"/>
    <w:unhideWhenUsed/>
    <w:rsid w:val="00C71F11"/>
    <w:pPr>
      <w:tabs>
        <w:tab w:val="center" w:pos="4513"/>
        <w:tab w:val="right" w:pos="9026"/>
      </w:tabs>
    </w:pPr>
  </w:style>
  <w:style w:type="character" w:customStyle="1" w:styleId="HeaderChar">
    <w:name w:val="Header Char"/>
    <w:link w:val="Header"/>
    <w:uiPriority w:val="99"/>
    <w:rsid w:val="00C71F11"/>
    <w:rPr>
      <w:sz w:val="22"/>
      <w:szCs w:val="22"/>
      <w:lang w:eastAsia="en-US"/>
    </w:rPr>
  </w:style>
  <w:style w:type="paragraph" w:styleId="Footer">
    <w:name w:val="footer"/>
    <w:basedOn w:val="Normal"/>
    <w:link w:val="FooterChar"/>
    <w:uiPriority w:val="99"/>
    <w:unhideWhenUsed/>
    <w:rsid w:val="00783BEE"/>
    <w:pPr>
      <w:tabs>
        <w:tab w:val="right" w:pos="9072"/>
      </w:tabs>
      <w:spacing w:after="0" w:line="240" w:lineRule="auto"/>
    </w:pPr>
    <w:rPr>
      <w:rFonts w:ascii="Arial" w:hAnsi="Arial"/>
      <w:sz w:val="18"/>
    </w:rPr>
  </w:style>
  <w:style w:type="character" w:customStyle="1" w:styleId="FooterChar">
    <w:name w:val="Footer Char"/>
    <w:link w:val="Footer"/>
    <w:uiPriority w:val="99"/>
    <w:rsid w:val="00783BEE"/>
    <w:rPr>
      <w:rFonts w:ascii="Arial" w:hAnsi="Arial"/>
      <w:sz w:val="18"/>
      <w:szCs w:val="22"/>
      <w:lang w:eastAsia="en-US"/>
    </w:rPr>
  </w:style>
  <w:style w:type="paragraph" w:styleId="Caption">
    <w:name w:val="caption"/>
    <w:basedOn w:val="Normal"/>
    <w:next w:val="Normal"/>
    <w:uiPriority w:val="35"/>
    <w:unhideWhenUsed/>
    <w:qFormat/>
    <w:rsid w:val="003544EC"/>
    <w:pPr>
      <w:keepNext/>
      <w:keepLines/>
      <w:spacing w:before="300" w:after="120" w:line="240" w:lineRule="auto"/>
    </w:pPr>
    <w:rPr>
      <w:rFonts w:ascii="Arial" w:hAnsi="Arial" w:cs="Arial"/>
      <w:b/>
      <w:bCs/>
      <w:szCs w:val="20"/>
    </w:rPr>
  </w:style>
  <w:style w:type="paragraph" w:styleId="TOC4">
    <w:name w:val="toc 4"/>
    <w:basedOn w:val="Normal"/>
    <w:next w:val="Normal"/>
    <w:autoRedefine/>
    <w:uiPriority w:val="39"/>
    <w:semiHidden/>
    <w:rsid w:val="004F0321"/>
    <w:pPr>
      <w:spacing w:after="100"/>
      <w:ind w:left="660"/>
    </w:pPr>
    <w:rPr>
      <w:rFonts w:eastAsia="Times New Roman"/>
      <w:lang w:eastAsia="en-AU"/>
    </w:rPr>
  </w:style>
  <w:style w:type="paragraph" w:styleId="TOC5">
    <w:name w:val="toc 5"/>
    <w:basedOn w:val="Normal"/>
    <w:next w:val="Normal"/>
    <w:autoRedefine/>
    <w:uiPriority w:val="39"/>
    <w:semiHidden/>
    <w:rsid w:val="004F0321"/>
    <w:pPr>
      <w:spacing w:after="100"/>
      <w:ind w:left="880"/>
    </w:pPr>
    <w:rPr>
      <w:rFonts w:eastAsia="Times New Roman"/>
      <w:lang w:eastAsia="en-AU"/>
    </w:rPr>
  </w:style>
  <w:style w:type="paragraph" w:styleId="TOC6">
    <w:name w:val="toc 6"/>
    <w:basedOn w:val="Normal"/>
    <w:next w:val="Normal"/>
    <w:autoRedefine/>
    <w:uiPriority w:val="39"/>
    <w:semiHidden/>
    <w:rsid w:val="004F0321"/>
    <w:pPr>
      <w:spacing w:after="100"/>
      <w:ind w:left="1100"/>
    </w:pPr>
    <w:rPr>
      <w:rFonts w:eastAsia="Times New Roman"/>
      <w:lang w:eastAsia="en-AU"/>
    </w:rPr>
  </w:style>
  <w:style w:type="paragraph" w:styleId="TOC7">
    <w:name w:val="toc 7"/>
    <w:basedOn w:val="Normal"/>
    <w:next w:val="Normal"/>
    <w:autoRedefine/>
    <w:uiPriority w:val="39"/>
    <w:semiHidden/>
    <w:rsid w:val="004F0321"/>
    <w:pPr>
      <w:spacing w:after="100"/>
      <w:ind w:left="1320"/>
    </w:pPr>
    <w:rPr>
      <w:rFonts w:eastAsia="Times New Roman"/>
      <w:lang w:eastAsia="en-AU"/>
    </w:rPr>
  </w:style>
  <w:style w:type="paragraph" w:styleId="TOC8">
    <w:name w:val="toc 8"/>
    <w:basedOn w:val="Normal"/>
    <w:next w:val="Normal"/>
    <w:autoRedefine/>
    <w:uiPriority w:val="39"/>
    <w:semiHidden/>
    <w:rsid w:val="004F0321"/>
    <w:pPr>
      <w:spacing w:after="100"/>
      <w:ind w:left="1540"/>
    </w:pPr>
    <w:rPr>
      <w:rFonts w:eastAsia="Times New Roman"/>
      <w:lang w:eastAsia="en-AU"/>
    </w:rPr>
  </w:style>
  <w:style w:type="paragraph" w:styleId="TOC9">
    <w:name w:val="toc 9"/>
    <w:basedOn w:val="Normal"/>
    <w:next w:val="Normal"/>
    <w:autoRedefine/>
    <w:uiPriority w:val="39"/>
    <w:semiHidden/>
    <w:rsid w:val="004F0321"/>
    <w:pPr>
      <w:spacing w:after="100"/>
      <w:ind w:left="1760"/>
    </w:pPr>
    <w:rPr>
      <w:rFonts w:eastAsia="Times New Roman"/>
      <w:lang w:eastAsia="en-AU"/>
    </w:rPr>
  </w:style>
  <w:style w:type="paragraph" w:styleId="NoSpacing">
    <w:name w:val="No Spacing"/>
    <w:uiPriority w:val="98"/>
    <w:semiHidden/>
    <w:qFormat/>
    <w:rsid w:val="004F0321"/>
    <w:rPr>
      <w:sz w:val="22"/>
      <w:szCs w:val="22"/>
      <w:lang w:eastAsia="en-US"/>
    </w:rPr>
  </w:style>
  <w:style w:type="paragraph" w:styleId="NormalWeb">
    <w:name w:val="Normal (Web)"/>
    <w:basedOn w:val="Normal"/>
    <w:uiPriority w:val="99"/>
    <w:semiHidden/>
    <w:rsid w:val="00B74A1F"/>
    <w:rPr>
      <w:rFonts w:ascii="Times New Roman" w:hAnsi="Times New Roman"/>
      <w:sz w:val="24"/>
      <w:szCs w:val="24"/>
    </w:rPr>
  </w:style>
  <w:style w:type="paragraph" w:styleId="ListParagraph">
    <w:name w:val="List Paragraph"/>
    <w:basedOn w:val="Normal"/>
    <w:uiPriority w:val="99"/>
    <w:semiHidden/>
    <w:qFormat/>
    <w:rsid w:val="00A26139"/>
    <w:pPr>
      <w:spacing w:after="200" w:line="276" w:lineRule="auto"/>
      <w:ind w:left="720"/>
      <w:contextualSpacing/>
    </w:pPr>
  </w:style>
  <w:style w:type="paragraph" w:customStyle="1" w:styleId="TableColHeadRight">
    <w:name w:val="Table Col Head Right"/>
    <w:basedOn w:val="TableColHead"/>
    <w:qFormat/>
    <w:rsid w:val="008C1BE0"/>
    <w:pPr>
      <w:jc w:val="right"/>
    </w:pPr>
  </w:style>
  <w:style w:type="paragraph" w:customStyle="1" w:styleId="TableTextBold">
    <w:name w:val="Table Text Bold"/>
    <w:basedOn w:val="TableText"/>
    <w:qFormat/>
    <w:rsid w:val="00CE2CE5"/>
    <w:rPr>
      <w:b/>
    </w:rPr>
  </w:style>
  <w:style w:type="paragraph" w:styleId="ListBullet2">
    <w:name w:val="List Bullet 2"/>
    <w:basedOn w:val="BodyText"/>
    <w:uiPriority w:val="99"/>
    <w:rsid w:val="009C77A0"/>
    <w:pPr>
      <w:numPr>
        <w:ilvl w:val="1"/>
        <w:numId w:val="39"/>
      </w:numPr>
      <w:spacing w:before="0" w:after="40"/>
      <w:ind w:left="568" w:hanging="284"/>
    </w:pPr>
  </w:style>
  <w:style w:type="numbering" w:customStyle="1" w:styleId="CAVListStyleBullets">
    <w:name w:val="CAV List Style: Bullets"/>
    <w:uiPriority w:val="99"/>
    <w:rsid w:val="00C659AA"/>
    <w:pPr>
      <w:numPr>
        <w:numId w:val="7"/>
      </w:numPr>
    </w:pPr>
  </w:style>
  <w:style w:type="paragraph" w:styleId="BlockText">
    <w:name w:val="Block Text"/>
    <w:basedOn w:val="Normal"/>
    <w:semiHidden/>
    <w:rsid w:val="00C04AF5"/>
    <w:pPr>
      <w:spacing w:before="240" w:after="120" w:line="240" w:lineRule="auto"/>
      <w:ind w:left="1440" w:right="1440"/>
    </w:pPr>
    <w:rPr>
      <w:rFonts w:ascii="Arial" w:hAnsi="Arial" w:cs="Arial"/>
      <w:color w:val="FF0000"/>
      <w:u w:val="single"/>
      <w:lang w:eastAsia="en-AU"/>
    </w:rPr>
  </w:style>
  <w:style w:type="paragraph" w:styleId="FootnoteText">
    <w:name w:val="footnote text"/>
    <w:basedOn w:val="Normal"/>
    <w:link w:val="FootnoteTextChar"/>
    <w:uiPriority w:val="99"/>
    <w:rsid w:val="00A54548"/>
    <w:pPr>
      <w:spacing w:before="60" w:after="60" w:line="264" w:lineRule="auto"/>
      <w:ind w:left="340" w:hanging="340"/>
    </w:pPr>
    <w:rPr>
      <w:rFonts w:ascii="Arial" w:hAnsi="Arial" w:cs="Arial"/>
      <w:sz w:val="18"/>
      <w:szCs w:val="16"/>
    </w:rPr>
  </w:style>
  <w:style w:type="character" w:styleId="Emphasis">
    <w:name w:val="Emphasis"/>
    <w:uiPriority w:val="20"/>
    <w:qFormat/>
    <w:rsid w:val="00422C46"/>
    <w:rPr>
      <w:i/>
      <w:iCs/>
    </w:rPr>
  </w:style>
  <w:style w:type="character" w:styleId="Strong">
    <w:name w:val="Strong"/>
    <w:uiPriority w:val="22"/>
    <w:qFormat/>
    <w:rsid w:val="008A5248"/>
    <w:rPr>
      <w:b/>
      <w:bCs/>
    </w:rPr>
  </w:style>
  <w:style w:type="character" w:styleId="CommentReference">
    <w:name w:val="annotation reference"/>
    <w:uiPriority w:val="99"/>
    <w:semiHidden/>
    <w:unhideWhenUsed/>
    <w:rsid w:val="00E44B22"/>
    <w:rPr>
      <w:sz w:val="16"/>
      <w:szCs w:val="16"/>
    </w:rPr>
  </w:style>
  <w:style w:type="paragraph" w:styleId="CommentText">
    <w:name w:val="annotation text"/>
    <w:basedOn w:val="Normal"/>
    <w:link w:val="CommentTextChar"/>
    <w:uiPriority w:val="99"/>
    <w:semiHidden/>
    <w:unhideWhenUsed/>
    <w:rsid w:val="00E44B22"/>
    <w:rPr>
      <w:sz w:val="20"/>
      <w:szCs w:val="20"/>
    </w:rPr>
  </w:style>
  <w:style w:type="character" w:customStyle="1" w:styleId="CommentTextChar">
    <w:name w:val="Comment Text Char"/>
    <w:link w:val="CommentText"/>
    <w:uiPriority w:val="99"/>
    <w:semiHidden/>
    <w:rsid w:val="00E44B22"/>
    <w:rPr>
      <w:lang w:eastAsia="en-US"/>
    </w:rPr>
  </w:style>
  <w:style w:type="paragraph" w:styleId="CommentSubject">
    <w:name w:val="annotation subject"/>
    <w:basedOn w:val="CommentText"/>
    <w:next w:val="CommentText"/>
    <w:link w:val="CommentSubjectChar"/>
    <w:uiPriority w:val="99"/>
    <w:semiHidden/>
    <w:unhideWhenUsed/>
    <w:rsid w:val="00E44B22"/>
    <w:rPr>
      <w:b/>
      <w:bCs/>
    </w:rPr>
  </w:style>
  <w:style w:type="character" w:customStyle="1" w:styleId="CommentSubjectChar">
    <w:name w:val="Comment Subject Char"/>
    <w:link w:val="CommentSubject"/>
    <w:uiPriority w:val="99"/>
    <w:semiHidden/>
    <w:rsid w:val="00E44B22"/>
    <w:rPr>
      <w:b/>
      <w:bCs/>
      <w:lang w:eastAsia="en-US"/>
    </w:rPr>
  </w:style>
  <w:style w:type="paragraph" w:styleId="BalloonText">
    <w:name w:val="Balloon Text"/>
    <w:basedOn w:val="Normal"/>
    <w:link w:val="BalloonTextChar"/>
    <w:uiPriority w:val="99"/>
    <w:semiHidden/>
    <w:unhideWhenUsed/>
    <w:rsid w:val="00E44B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4B22"/>
    <w:rPr>
      <w:rFonts w:ascii="Segoe UI" w:hAnsi="Segoe UI" w:cs="Segoe UI"/>
      <w:sz w:val="18"/>
      <w:szCs w:val="18"/>
      <w:lang w:eastAsia="en-US"/>
    </w:rPr>
  </w:style>
  <w:style w:type="character" w:customStyle="1" w:styleId="Heading4Char">
    <w:name w:val="Heading 4 Char"/>
    <w:link w:val="Heading4"/>
    <w:uiPriority w:val="9"/>
    <w:rsid w:val="00C076AD"/>
    <w:rPr>
      <w:rFonts w:ascii="Arial" w:eastAsia="Times New Roman" w:hAnsi="Arial"/>
      <w:b/>
      <w:bCs/>
      <w:sz w:val="26"/>
      <w:szCs w:val="26"/>
      <w:lang w:eastAsia="en-US"/>
    </w:rPr>
  </w:style>
  <w:style w:type="paragraph" w:styleId="Revision">
    <w:name w:val="Revision"/>
    <w:hidden/>
    <w:uiPriority w:val="99"/>
    <w:semiHidden/>
    <w:rsid w:val="00A73820"/>
    <w:rPr>
      <w:sz w:val="22"/>
      <w:szCs w:val="22"/>
      <w:lang w:eastAsia="en-US"/>
    </w:rPr>
  </w:style>
  <w:style w:type="character" w:customStyle="1" w:styleId="FootnoteTextChar">
    <w:name w:val="Footnote Text Char"/>
    <w:link w:val="FootnoteText"/>
    <w:uiPriority w:val="99"/>
    <w:rsid w:val="00A54548"/>
    <w:rPr>
      <w:rFonts w:ascii="Arial" w:hAnsi="Arial" w:cs="Arial"/>
      <w:sz w:val="18"/>
      <w:szCs w:val="16"/>
      <w:lang w:eastAsia="en-US"/>
    </w:rPr>
  </w:style>
  <w:style w:type="character" w:styleId="FootnoteReference">
    <w:name w:val="footnote reference"/>
    <w:uiPriority w:val="99"/>
    <w:rsid w:val="003D521F"/>
    <w:rPr>
      <w:vertAlign w:val="superscript"/>
    </w:rPr>
  </w:style>
  <w:style w:type="paragraph" w:styleId="TableofFigures">
    <w:name w:val="table of figures"/>
    <w:basedOn w:val="Normal"/>
    <w:next w:val="Normal"/>
    <w:uiPriority w:val="99"/>
    <w:semiHidden/>
    <w:unhideWhenUsed/>
    <w:rsid w:val="00624207"/>
  </w:style>
  <w:style w:type="character" w:styleId="FollowedHyperlink">
    <w:name w:val="FollowedHyperlink"/>
    <w:uiPriority w:val="99"/>
    <w:rsid w:val="004F061C"/>
    <w:rPr>
      <w:color w:val="954F72"/>
      <w:u w:val="single"/>
    </w:rPr>
  </w:style>
  <w:style w:type="paragraph" w:styleId="ListBullet">
    <w:name w:val="List Bullet"/>
    <w:basedOn w:val="BodyText"/>
    <w:uiPriority w:val="99"/>
    <w:rsid w:val="009C77A0"/>
    <w:pPr>
      <w:numPr>
        <w:numId w:val="39"/>
      </w:numPr>
      <w:spacing w:before="0" w:after="40"/>
    </w:pPr>
  </w:style>
  <w:style w:type="character" w:customStyle="1" w:styleId="Heading5Char">
    <w:name w:val="Heading 5 Char"/>
    <w:link w:val="Heading5"/>
    <w:uiPriority w:val="9"/>
    <w:rsid w:val="00D03A6F"/>
    <w:rPr>
      <w:rFonts w:ascii="Arial" w:eastAsia="Times New Roman" w:hAnsi="Arial"/>
      <w:b/>
      <w:bCs/>
      <w:iCs/>
      <w:sz w:val="22"/>
      <w:szCs w:val="26"/>
      <w:lang w:eastAsia="en-US"/>
    </w:rPr>
  </w:style>
  <w:style w:type="paragraph" w:styleId="ListNumber">
    <w:name w:val="List Number"/>
    <w:basedOn w:val="Normal"/>
    <w:uiPriority w:val="99"/>
    <w:rsid w:val="00896A7C"/>
    <w:pPr>
      <w:numPr>
        <w:numId w:val="30"/>
      </w:numPr>
      <w:spacing w:line="312" w:lineRule="auto"/>
      <w:ind w:left="357" w:hanging="357"/>
      <w:contextualSpacing/>
    </w:pPr>
    <w:rPr>
      <w:rFonts w:ascii="Arial" w:hAnsi="Arial"/>
      <w:sz w:val="20"/>
    </w:rPr>
  </w:style>
  <w:style w:type="character" w:customStyle="1" w:styleId="UnresolvedMention1">
    <w:name w:val="Unresolved Mention1"/>
    <w:uiPriority w:val="99"/>
    <w:semiHidden/>
    <w:unhideWhenUsed/>
    <w:rsid w:val="003B545A"/>
    <w:rPr>
      <w:color w:val="808080"/>
      <w:shd w:val="clear" w:color="auto" w:fill="E6E6E6"/>
    </w:rPr>
  </w:style>
  <w:style w:type="character" w:customStyle="1" w:styleId="Heading6Char">
    <w:name w:val="Heading 6 Char"/>
    <w:link w:val="Heading6"/>
    <w:uiPriority w:val="9"/>
    <w:rsid w:val="00DF73E7"/>
    <w:rPr>
      <w:rFonts w:ascii="Arial" w:eastAsia="Times New Roman" w:hAnsi="Arial"/>
      <w:b/>
      <w:bCs/>
      <w:szCs w:val="22"/>
      <w:lang w:eastAsia="en-US"/>
    </w:rPr>
  </w:style>
  <w:style w:type="paragraph" w:customStyle="1" w:styleId="TableTextRightBold">
    <w:name w:val="Table Text Right Bold"/>
    <w:basedOn w:val="TableTextRight"/>
    <w:qFormat/>
    <w:rsid w:val="00006DE3"/>
    <w:rPr>
      <w:b/>
    </w:rPr>
  </w:style>
  <w:style w:type="paragraph" w:styleId="TOCHeading">
    <w:name w:val="TOC Heading"/>
    <w:basedOn w:val="Heading2"/>
    <w:next w:val="BodyText"/>
    <w:uiPriority w:val="39"/>
    <w:qFormat/>
    <w:rsid w:val="00EB6E61"/>
  </w:style>
  <w:style w:type="character" w:styleId="UnresolvedMention">
    <w:name w:val="Unresolved Mention"/>
    <w:basedOn w:val="DefaultParagraphFont"/>
    <w:uiPriority w:val="99"/>
    <w:semiHidden/>
    <w:unhideWhenUsed/>
    <w:rsid w:val="00D31BFE"/>
    <w:rPr>
      <w:color w:val="605E5C"/>
      <w:shd w:val="clear" w:color="auto" w:fill="E1DFDD"/>
    </w:rPr>
  </w:style>
  <w:style w:type="numbering" w:customStyle="1" w:styleId="ZZListBullets">
    <w:name w:val="ZZ List Bullets"/>
    <w:uiPriority w:val="99"/>
    <w:rsid w:val="00E320F3"/>
    <w:pPr>
      <w:numPr>
        <w:numId w:val="39"/>
      </w:numPr>
    </w:pPr>
  </w:style>
  <w:style w:type="paragraph" w:customStyle="1" w:styleId="Heading2small">
    <w:name w:val="Heading 2 small"/>
    <w:basedOn w:val="Heading2"/>
    <w:qFormat/>
    <w:rsid w:val="0032615F"/>
    <w:pPr>
      <w:pageBreakBefore w:val="0"/>
      <w:spacing w:before="280" w:after="120"/>
    </w:pPr>
    <w:rPr>
      <w:b/>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9724">
      <w:bodyDiv w:val="1"/>
      <w:marLeft w:val="0"/>
      <w:marRight w:val="0"/>
      <w:marTop w:val="0"/>
      <w:marBottom w:val="0"/>
      <w:divBdr>
        <w:top w:val="none" w:sz="0" w:space="0" w:color="auto"/>
        <w:left w:val="none" w:sz="0" w:space="0" w:color="auto"/>
        <w:bottom w:val="none" w:sz="0" w:space="0" w:color="auto"/>
        <w:right w:val="none" w:sz="0" w:space="0" w:color="auto"/>
      </w:divBdr>
    </w:div>
    <w:div w:id="67700473">
      <w:bodyDiv w:val="1"/>
      <w:marLeft w:val="0"/>
      <w:marRight w:val="0"/>
      <w:marTop w:val="0"/>
      <w:marBottom w:val="0"/>
      <w:divBdr>
        <w:top w:val="none" w:sz="0" w:space="0" w:color="auto"/>
        <w:left w:val="none" w:sz="0" w:space="0" w:color="auto"/>
        <w:bottom w:val="none" w:sz="0" w:space="0" w:color="auto"/>
        <w:right w:val="none" w:sz="0" w:space="0" w:color="auto"/>
      </w:divBdr>
    </w:div>
    <w:div w:id="78991551">
      <w:bodyDiv w:val="1"/>
      <w:marLeft w:val="0"/>
      <w:marRight w:val="0"/>
      <w:marTop w:val="0"/>
      <w:marBottom w:val="0"/>
      <w:divBdr>
        <w:top w:val="none" w:sz="0" w:space="0" w:color="auto"/>
        <w:left w:val="none" w:sz="0" w:space="0" w:color="auto"/>
        <w:bottom w:val="none" w:sz="0" w:space="0" w:color="auto"/>
        <w:right w:val="none" w:sz="0" w:space="0" w:color="auto"/>
      </w:divBdr>
    </w:div>
    <w:div w:id="94137366">
      <w:bodyDiv w:val="1"/>
      <w:marLeft w:val="0"/>
      <w:marRight w:val="0"/>
      <w:marTop w:val="0"/>
      <w:marBottom w:val="0"/>
      <w:divBdr>
        <w:top w:val="none" w:sz="0" w:space="0" w:color="auto"/>
        <w:left w:val="none" w:sz="0" w:space="0" w:color="auto"/>
        <w:bottom w:val="none" w:sz="0" w:space="0" w:color="auto"/>
        <w:right w:val="none" w:sz="0" w:space="0" w:color="auto"/>
      </w:divBdr>
    </w:div>
    <w:div w:id="119108128">
      <w:bodyDiv w:val="1"/>
      <w:marLeft w:val="0"/>
      <w:marRight w:val="0"/>
      <w:marTop w:val="0"/>
      <w:marBottom w:val="0"/>
      <w:divBdr>
        <w:top w:val="none" w:sz="0" w:space="0" w:color="auto"/>
        <w:left w:val="none" w:sz="0" w:space="0" w:color="auto"/>
        <w:bottom w:val="none" w:sz="0" w:space="0" w:color="auto"/>
        <w:right w:val="none" w:sz="0" w:space="0" w:color="auto"/>
      </w:divBdr>
    </w:div>
    <w:div w:id="177160737">
      <w:bodyDiv w:val="1"/>
      <w:marLeft w:val="0"/>
      <w:marRight w:val="0"/>
      <w:marTop w:val="0"/>
      <w:marBottom w:val="0"/>
      <w:divBdr>
        <w:top w:val="none" w:sz="0" w:space="0" w:color="auto"/>
        <w:left w:val="none" w:sz="0" w:space="0" w:color="auto"/>
        <w:bottom w:val="none" w:sz="0" w:space="0" w:color="auto"/>
        <w:right w:val="none" w:sz="0" w:space="0" w:color="auto"/>
      </w:divBdr>
    </w:div>
    <w:div w:id="179854712">
      <w:bodyDiv w:val="1"/>
      <w:marLeft w:val="0"/>
      <w:marRight w:val="0"/>
      <w:marTop w:val="0"/>
      <w:marBottom w:val="0"/>
      <w:divBdr>
        <w:top w:val="none" w:sz="0" w:space="0" w:color="auto"/>
        <w:left w:val="none" w:sz="0" w:space="0" w:color="auto"/>
        <w:bottom w:val="none" w:sz="0" w:space="0" w:color="auto"/>
        <w:right w:val="none" w:sz="0" w:space="0" w:color="auto"/>
      </w:divBdr>
    </w:div>
    <w:div w:id="246889497">
      <w:bodyDiv w:val="1"/>
      <w:marLeft w:val="0"/>
      <w:marRight w:val="0"/>
      <w:marTop w:val="0"/>
      <w:marBottom w:val="0"/>
      <w:divBdr>
        <w:top w:val="none" w:sz="0" w:space="0" w:color="auto"/>
        <w:left w:val="none" w:sz="0" w:space="0" w:color="auto"/>
        <w:bottom w:val="none" w:sz="0" w:space="0" w:color="auto"/>
        <w:right w:val="none" w:sz="0" w:space="0" w:color="auto"/>
      </w:divBdr>
    </w:div>
    <w:div w:id="248735409">
      <w:bodyDiv w:val="1"/>
      <w:marLeft w:val="0"/>
      <w:marRight w:val="0"/>
      <w:marTop w:val="0"/>
      <w:marBottom w:val="0"/>
      <w:divBdr>
        <w:top w:val="none" w:sz="0" w:space="0" w:color="auto"/>
        <w:left w:val="none" w:sz="0" w:space="0" w:color="auto"/>
        <w:bottom w:val="none" w:sz="0" w:space="0" w:color="auto"/>
        <w:right w:val="none" w:sz="0" w:space="0" w:color="auto"/>
      </w:divBdr>
    </w:div>
    <w:div w:id="269624268">
      <w:bodyDiv w:val="1"/>
      <w:marLeft w:val="0"/>
      <w:marRight w:val="0"/>
      <w:marTop w:val="0"/>
      <w:marBottom w:val="0"/>
      <w:divBdr>
        <w:top w:val="none" w:sz="0" w:space="0" w:color="auto"/>
        <w:left w:val="none" w:sz="0" w:space="0" w:color="auto"/>
        <w:bottom w:val="none" w:sz="0" w:space="0" w:color="auto"/>
        <w:right w:val="none" w:sz="0" w:space="0" w:color="auto"/>
      </w:divBdr>
    </w:div>
    <w:div w:id="306325682">
      <w:bodyDiv w:val="1"/>
      <w:marLeft w:val="0"/>
      <w:marRight w:val="0"/>
      <w:marTop w:val="0"/>
      <w:marBottom w:val="0"/>
      <w:divBdr>
        <w:top w:val="none" w:sz="0" w:space="0" w:color="auto"/>
        <w:left w:val="none" w:sz="0" w:space="0" w:color="auto"/>
        <w:bottom w:val="none" w:sz="0" w:space="0" w:color="auto"/>
        <w:right w:val="none" w:sz="0" w:space="0" w:color="auto"/>
      </w:divBdr>
    </w:div>
    <w:div w:id="324090989">
      <w:bodyDiv w:val="1"/>
      <w:marLeft w:val="0"/>
      <w:marRight w:val="0"/>
      <w:marTop w:val="0"/>
      <w:marBottom w:val="0"/>
      <w:divBdr>
        <w:top w:val="none" w:sz="0" w:space="0" w:color="auto"/>
        <w:left w:val="none" w:sz="0" w:space="0" w:color="auto"/>
        <w:bottom w:val="none" w:sz="0" w:space="0" w:color="auto"/>
        <w:right w:val="none" w:sz="0" w:space="0" w:color="auto"/>
      </w:divBdr>
    </w:div>
    <w:div w:id="447622962">
      <w:bodyDiv w:val="1"/>
      <w:marLeft w:val="0"/>
      <w:marRight w:val="0"/>
      <w:marTop w:val="0"/>
      <w:marBottom w:val="0"/>
      <w:divBdr>
        <w:top w:val="none" w:sz="0" w:space="0" w:color="auto"/>
        <w:left w:val="none" w:sz="0" w:space="0" w:color="auto"/>
        <w:bottom w:val="none" w:sz="0" w:space="0" w:color="auto"/>
        <w:right w:val="none" w:sz="0" w:space="0" w:color="auto"/>
      </w:divBdr>
    </w:div>
    <w:div w:id="602615279">
      <w:bodyDiv w:val="1"/>
      <w:marLeft w:val="0"/>
      <w:marRight w:val="0"/>
      <w:marTop w:val="0"/>
      <w:marBottom w:val="0"/>
      <w:divBdr>
        <w:top w:val="none" w:sz="0" w:space="0" w:color="auto"/>
        <w:left w:val="none" w:sz="0" w:space="0" w:color="auto"/>
        <w:bottom w:val="none" w:sz="0" w:space="0" w:color="auto"/>
        <w:right w:val="none" w:sz="0" w:space="0" w:color="auto"/>
      </w:divBdr>
    </w:div>
    <w:div w:id="604195287">
      <w:bodyDiv w:val="1"/>
      <w:marLeft w:val="0"/>
      <w:marRight w:val="0"/>
      <w:marTop w:val="0"/>
      <w:marBottom w:val="0"/>
      <w:divBdr>
        <w:top w:val="none" w:sz="0" w:space="0" w:color="auto"/>
        <w:left w:val="none" w:sz="0" w:space="0" w:color="auto"/>
        <w:bottom w:val="none" w:sz="0" w:space="0" w:color="auto"/>
        <w:right w:val="none" w:sz="0" w:space="0" w:color="auto"/>
      </w:divBdr>
    </w:div>
    <w:div w:id="615451468">
      <w:bodyDiv w:val="1"/>
      <w:marLeft w:val="0"/>
      <w:marRight w:val="0"/>
      <w:marTop w:val="0"/>
      <w:marBottom w:val="0"/>
      <w:divBdr>
        <w:top w:val="none" w:sz="0" w:space="0" w:color="auto"/>
        <w:left w:val="none" w:sz="0" w:space="0" w:color="auto"/>
        <w:bottom w:val="none" w:sz="0" w:space="0" w:color="auto"/>
        <w:right w:val="none" w:sz="0" w:space="0" w:color="auto"/>
      </w:divBdr>
    </w:div>
    <w:div w:id="687145850">
      <w:bodyDiv w:val="1"/>
      <w:marLeft w:val="0"/>
      <w:marRight w:val="0"/>
      <w:marTop w:val="0"/>
      <w:marBottom w:val="0"/>
      <w:divBdr>
        <w:top w:val="none" w:sz="0" w:space="0" w:color="auto"/>
        <w:left w:val="none" w:sz="0" w:space="0" w:color="auto"/>
        <w:bottom w:val="none" w:sz="0" w:space="0" w:color="auto"/>
        <w:right w:val="none" w:sz="0" w:space="0" w:color="auto"/>
      </w:divBdr>
    </w:div>
    <w:div w:id="719675233">
      <w:bodyDiv w:val="1"/>
      <w:marLeft w:val="0"/>
      <w:marRight w:val="0"/>
      <w:marTop w:val="0"/>
      <w:marBottom w:val="0"/>
      <w:divBdr>
        <w:top w:val="none" w:sz="0" w:space="0" w:color="auto"/>
        <w:left w:val="none" w:sz="0" w:space="0" w:color="auto"/>
        <w:bottom w:val="none" w:sz="0" w:space="0" w:color="auto"/>
        <w:right w:val="none" w:sz="0" w:space="0" w:color="auto"/>
      </w:divBdr>
    </w:div>
    <w:div w:id="756513019">
      <w:bodyDiv w:val="1"/>
      <w:marLeft w:val="0"/>
      <w:marRight w:val="0"/>
      <w:marTop w:val="0"/>
      <w:marBottom w:val="0"/>
      <w:divBdr>
        <w:top w:val="none" w:sz="0" w:space="0" w:color="auto"/>
        <w:left w:val="none" w:sz="0" w:space="0" w:color="auto"/>
        <w:bottom w:val="none" w:sz="0" w:space="0" w:color="auto"/>
        <w:right w:val="none" w:sz="0" w:space="0" w:color="auto"/>
      </w:divBdr>
    </w:div>
    <w:div w:id="1287397041">
      <w:bodyDiv w:val="1"/>
      <w:marLeft w:val="0"/>
      <w:marRight w:val="0"/>
      <w:marTop w:val="0"/>
      <w:marBottom w:val="0"/>
      <w:divBdr>
        <w:top w:val="none" w:sz="0" w:space="0" w:color="auto"/>
        <w:left w:val="none" w:sz="0" w:space="0" w:color="auto"/>
        <w:bottom w:val="none" w:sz="0" w:space="0" w:color="auto"/>
        <w:right w:val="none" w:sz="0" w:space="0" w:color="auto"/>
      </w:divBdr>
    </w:div>
    <w:div w:id="1322276776">
      <w:bodyDiv w:val="1"/>
      <w:marLeft w:val="0"/>
      <w:marRight w:val="0"/>
      <w:marTop w:val="0"/>
      <w:marBottom w:val="0"/>
      <w:divBdr>
        <w:top w:val="none" w:sz="0" w:space="0" w:color="auto"/>
        <w:left w:val="none" w:sz="0" w:space="0" w:color="auto"/>
        <w:bottom w:val="none" w:sz="0" w:space="0" w:color="auto"/>
        <w:right w:val="none" w:sz="0" w:space="0" w:color="auto"/>
      </w:divBdr>
    </w:div>
    <w:div w:id="1328286301">
      <w:bodyDiv w:val="1"/>
      <w:marLeft w:val="0"/>
      <w:marRight w:val="0"/>
      <w:marTop w:val="0"/>
      <w:marBottom w:val="0"/>
      <w:divBdr>
        <w:top w:val="none" w:sz="0" w:space="0" w:color="auto"/>
        <w:left w:val="none" w:sz="0" w:space="0" w:color="auto"/>
        <w:bottom w:val="none" w:sz="0" w:space="0" w:color="auto"/>
        <w:right w:val="none" w:sz="0" w:space="0" w:color="auto"/>
      </w:divBdr>
    </w:div>
    <w:div w:id="1437676124">
      <w:bodyDiv w:val="1"/>
      <w:marLeft w:val="0"/>
      <w:marRight w:val="0"/>
      <w:marTop w:val="0"/>
      <w:marBottom w:val="0"/>
      <w:divBdr>
        <w:top w:val="none" w:sz="0" w:space="0" w:color="auto"/>
        <w:left w:val="none" w:sz="0" w:space="0" w:color="auto"/>
        <w:bottom w:val="none" w:sz="0" w:space="0" w:color="auto"/>
        <w:right w:val="none" w:sz="0" w:space="0" w:color="auto"/>
      </w:divBdr>
    </w:div>
    <w:div w:id="1467624668">
      <w:bodyDiv w:val="1"/>
      <w:marLeft w:val="0"/>
      <w:marRight w:val="0"/>
      <w:marTop w:val="0"/>
      <w:marBottom w:val="0"/>
      <w:divBdr>
        <w:top w:val="none" w:sz="0" w:space="0" w:color="auto"/>
        <w:left w:val="none" w:sz="0" w:space="0" w:color="auto"/>
        <w:bottom w:val="none" w:sz="0" w:space="0" w:color="auto"/>
        <w:right w:val="none" w:sz="0" w:space="0" w:color="auto"/>
      </w:divBdr>
    </w:div>
    <w:div w:id="1484932626">
      <w:bodyDiv w:val="1"/>
      <w:marLeft w:val="0"/>
      <w:marRight w:val="0"/>
      <w:marTop w:val="0"/>
      <w:marBottom w:val="0"/>
      <w:divBdr>
        <w:top w:val="none" w:sz="0" w:space="0" w:color="auto"/>
        <w:left w:val="none" w:sz="0" w:space="0" w:color="auto"/>
        <w:bottom w:val="none" w:sz="0" w:space="0" w:color="auto"/>
        <w:right w:val="none" w:sz="0" w:space="0" w:color="auto"/>
      </w:divBdr>
      <w:divsChild>
        <w:div w:id="1172337714">
          <w:marLeft w:val="0"/>
          <w:marRight w:val="0"/>
          <w:marTop w:val="0"/>
          <w:marBottom w:val="0"/>
          <w:divBdr>
            <w:top w:val="none" w:sz="0" w:space="0" w:color="auto"/>
            <w:left w:val="none" w:sz="0" w:space="0" w:color="auto"/>
            <w:bottom w:val="none" w:sz="0" w:space="0" w:color="auto"/>
            <w:right w:val="none" w:sz="0" w:space="0" w:color="auto"/>
          </w:divBdr>
        </w:div>
      </w:divsChild>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13640862">
      <w:bodyDiv w:val="1"/>
      <w:marLeft w:val="0"/>
      <w:marRight w:val="0"/>
      <w:marTop w:val="0"/>
      <w:marBottom w:val="0"/>
      <w:divBdr>
        <w:top w:val="none" w:sz="0" w:space="0" w:color="auto"/>
        <w:left w:val="none" w:sz="0" w:space="0" w:color="auto"/>
        <w:bottom w:val="none" w:sz="0" w:space="0" w:color="auto"/>
        <w:right w:val="none" w:sz="0" w:space="0" w:color="auto"/>
      </w:divBdr>
    </w:div>
    <w:div w:id="1525553732">
      <w:bodyDiv w:val="1"/>
      <w:marLeft w:val="0"/>
      <w:marRight w:val="0"/>
      <w:marTop w:val="0"/>
      <w:marBottom w:val="0"/>
      <w:divBdr>
        <w:top w:val="none" w:sz="0" w:space="0" w:color="auto"/>
        <w:left w:val="none" w:sz="0" w:space="0" w:color="auto"/>
        <w:bottom w:val="none" w:sz="0" w:space="0" w:color="auto"/>
        <w:right w:val="none" w:sz="0" w:space="0" w:color="auto"/>
      </w:divBdr>
      <w:divsChild>
        <w:div w:id="372467232">
          <w:marLeft w:val="274"/>
          <w:marRight w:val="0"/>
          <w:marTop w:val="86"/>
          <w:marBottom w:val="0"/>
          <w:divBdr>
            <w:top w:val="none" w:sz="0" w:space="0" w:color="auto"/>
            <w:left w:val="none" w:sz="0" w:space="0" w:color="auto"/>
            <w:bottom w:val="none" w:sz="0" w:space="0" w:color="auto"/>
            <w:right w:val="none" w:sz="0" w:space="0" w:color="auto"/>
          </w:divBdr>
        </w:div>
        <w:div w:id="1300647180">
          <w:marLeft w:val="274"/>
          <w:marRight w:val="0"/>
          <w:marTop w:val="86"/>
          <w:marBottom w:val="0"/>
          <w:divBdr>
            <w:top w:val="none" w:sz="0" w:space="0" w:color="auto"/>
            <w:left w:val="none" w:sz="0" w:space="0" w:color="auto"/>
            <w:bottom w:val="none" w:sz="0" w:space="0" w:color="auto"/>
            <w:right w:val="none" w:sz="0" w:space="0" w:color="auto"/>
          </w:divBdr>
        </w:div>
        <w:div w:id="1693341467">
          <w:marLeft w:val="274"/>
          <w:marRight w:val="0"/>
          <w:marTop w:val="86"/>
          <w:marBottom w:val="0"/>
          <w:divBdr>
            <w:top w:val="none" w:sz="0" w:space="0" w:color="auto"/>
            <w:left w:val="none" w:sz="0" w:space="0" w:color="auto"/>
            <w:bottom w:val="none" w:sz="0" w:space="0" w:color="auto"/>
            <w:right w:val="none" w:sz="0" w:space="0" w:color="auto"/>
          </w:divBdr>
        </w:div>
      </w:divsChild>
    </w:div>
    <w:div w:id="1697073557">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806922394">
      <w:bodyDiv w:val="1"/>
      <w:marLeft w:val="0"/>
      <w:marRight w:val="0"/>
      <w:marTop w:val="0"/>
      <w:marBottom w:val="0"/>
      <w:divBdr>
        <w:top w:val="none" w:sz="0" w:space="0" w:color="auto"/>
        <w:left w:val="none" w:sz="0" w:space="0" w:color="auto"/>
        <w:bottom w:val="none" w:sz="0" w:space="0" w:color="auto"/>
        <w:right w:val="none" w:sz="0" w:space="0" w:color="auto"/>
      </w:divBdr>
    </w:div>
    <w:div w:id="1813980390">
      <w:bodyDiv w:val="1"/>
      <w:marLeft w:val="0"/>
      <w:marRight w:val="0"/>
      <w:marTop w:val="0"/>
      <w:marBottom w:val="0"/>
      <w:divBdr>
        <w:top w:val="none" w:sz="0" w:space="0" w:color="auto"/>
        <w:left w:val="none" w:sz="0" w:space="0" w:color="auto"/>
        <w:bottom w:val="none" w:sz="0" w:space="0" w:color="auto"/>
        <w:right w:val="none" w:sz="0" w:space="0" w:color="auto"/>
      </w:divBdr>
    </w:div>
    <w:div w:id="1816216685">
      <w:bodyDiv w:val="1"/>
      <w:marLeft w:val="0"/>
      <w:marRight w:val="0"/>
      <w:marTop w:val="0"/>
      <w:marBottom w:val="0"/>
      <w:divBdr>
        <w:top w:val="none" w:sz="0" w:space="0" w:color="auto"/>
        <w:left w:val="none" w:sz="0" w:space="0" w:color="auto"/>
        <w:bottom w:val="none" w:sz="0" w:space="0" w:color="auto"/>
        <w:right w:val="none" w:sz="0" w:space="0" w:color="auto"/>
      </w:divBdr>
    </w:div>
    <w:div w:id="1874076455">
      <w:bodyDiv w:val="1"/>
      <w:marLeft w:val="0"/>
      <w:marRight w:val="0"/>
      <w:marTop w:val="0"/>
      <w:marBottom w:val="0"/>
      <w:divBdr>
        <w:top w:val="none" w:sz="0" w:space="0" w:color="auto"/>
        <w:left w:val="none" w:sz="0" w:space="0" w:color="auto"/>
        <w:bottom w:val="none" w:sz="0" w:space="0" w:color="auto"/>
        <w:right w:val="none" w:sz="0" w:space="0" w:color="auto"/>
      </w:divBdr>
    </w:div>
    <w:div w:id="1911038311">
      <w:bodyDiv w:val="1"/>
      <w:marLeft w:val="0"/>
      <w:marRight w:val="0"/>
      <w:marTop w:val="0"/>
      <w:marBottom w:val="0"/>
      <w:divBdr>
        <w:top w:val="none" w:sz="0" w:space="0" w:color="auto"/>
        <w:left w:val="none" w:sz="0" w:space="0" w:color="auto"/>
        <w:bottom w:val="none" w:sz="0" w:space="0" w:color="auto"/>
        <w:right w:val="none" w:sz="0" w:space="0" w:color="auto"/>
      </w:divBdr>
    </w:div>
    <w:div w:id="1934164282">
      <w:bodyDiv w:val="1"/>
      <w:marLeft w:val="0"/>
      <w:marRight w:val="0"/>
      <w:marTop w:val="0"/>
      <w:marBottom w:val="0"/>
      <w:divBdr>
        <w:top w:val="none" w:sz="0" w:space="0" w:color="auto"/>
        <w:left w:val="none" w:sz="0" w:space="0" w:color="auto"/>
        <w:bottom w:val="none" w:sz="0" w:space="0" w:color="auto"/>
        <w:right w:val="none" w:sz="0" w:space="0" w:color="auto"/>
      </w:divBdr>
    </w:div>
    <w:div w:id="1949459399">
      <w:bodyDiv w:val="1"/>
      <w:marLeft w:val="0"/>
      <w:marRight w:val="0"/>
      <w:marTop w:val="0"/>
      <w:marBottom w:val="0"/>
      <w:divBdr>
        <w:top w:val="none" w:sz="0" w:space="0" w:color="auto"/>
        <w:left w:val="none" w:sz="0" w:space="0" w:color="auto"/>
        <w:bottom w:val="none" w:sz="0" w:space="0" w:color="auto"/>
        <w:right w:val="none" w:sz="0" w:space="0" w:color="auto"/>
      </w:divBdr>
    </w:div>
    <w:div w:id="2026129576">
      <w:bodyDiv w:val="1"/>
      <w:marLeft w:val="0"/>
      <w:marRight w:val="0"/>
      <w:marTop w:val="0"/>
      <w:marBottom w:val="0"/>
      <w:divBdr>
        <w:top w:val="none" w:sz="0" w:space="0" w:color="auto"/>
        <w:left w:val="none" w:sz="0" w:space="0" w:color="auto"/>
        <w:bottom w:val="none" w:sz="0" w:space="0" w:color="auto"/>
        <w:right w:val="none" w:sz="0" w:space="0" w:color="auto"/>
      </w:divBdr>
    </w:div>
    <w:div w:id="2066440490">
      <w:bodyDiv w:val="1"/>
      <w:marLeft w:val="0"/>
      <w:marRight w:val="0"/>
      <w:marTop w:val="0"/>
      <w:marBottom w:val="0"/>
      <w:divBdr>
        <w:top w:val="none" w:sz="0" w:space="0" w:color="auto"/>
        <w:left w:val="none" w:sz="0" w:space="0" w:color="auto"/>
        <w:bottom w:val="none" w:sz="0" w:space="0" w:color="auto"/>
        <w:right w:val="none" w:sz="0" w:space="0" w:color="auto"/>
      </w:divBdr>
    </w:div>
    <w:div w:id="2089302896">
      <w:bodyDiv w:val="1"/>
      <w:marLeft w:val="0"/>
      <w:marRight w:val="0"/>
      <w:marTop w:val="0"/>
      <w:marBottom w:val="0"/>
      <w:divBdr>
        <w:top w:val="none" w:sz="0" w:space="0" w:color="auto"/>
        <w:left w:val="none" w:sz="0" w:space="0" w:color="auto"/>
        <w:bottom w:val="none" w:sz="0" w:space="0" w:color="auto"/>
        <w:right w:val="none" w:sz="0" w:space="0" w:color="auto"/>
      </w:divBdr>
    </w:div>
    <w:div w:id="212808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consumer.vic.gov.au/about-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nsumer.vic.gov.au/"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consumer.vic.gov.a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creativecommons.org/licenses/by/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26D2FBC-62FC-444A-A0D0-E2A3A33B2AA5}">
  <ds:schemaRefs>
    <ds:schemaRef ds:uri="http://schemas.openxmlformats.org/officeDocument/2006/bibliography"/>
  </ds:schemaRefs>
</ds:datastoreItem>
</file>

<file path=customXml/itemProps2.xml><?xml version="1.0" encoding="utf-8"?>
<ds:datastoreItem xmlns:ds="http://schemas.openxmlformats.org/officeDocument/2006/customXml" ds:itemID="{70313A83-F3EF-4BC5-B324-F68E5B173B56}">
  <ds:schemaRefs>
    <ds:schemaRef ds:uri="http://schemas.openxmlformats.org/officeDocument/2006/bibliography"/>
  </ds:schemaRefs>
</ds:datastoreItem>
</file>

<file path=customXml/itemProps3.xml><?xml version="1.0" encoding="utf-8"?>
<ds:datastoreItem xmlns:ds="http://schemas.openxmlformats.org/officeDocument/2006/customXml" ds:itemID="{EB708F6C-76FA-495E-B14F-53B45DFB5B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F571B-F903-4051-BDDF-18AF017CFF07}">
  <ds:schemaRefs>
    <ds:schemaRef ds:uri="http://schemas.microsoft.com/sharepoint/v3/contenttype/forms"/>
  </ds:schemaRefs>
</ds:datastoreItem>
</file>

<file path=customXml/itemProps5.xml><?xml version="1.0" encoding="utf-8"?>
<ds:datastoreItem xmlns:ds="http://schemas.openxmlformats.org/officeDocument/2006/customXml" ds:itemID="{10E27E74-FB5B-4A13-A837-F0F6B3B2F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B6B34FD3-8E20-4539-A360-2028A4F71D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11576</Words>
  <Characters>65987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Consumer Affairs Victoria Annual Report 2023-24</vt:lpstr>
    </vt:vector>
  </TitlesOfParts>
  <Company>Victorian Department of Government Services</Company>
  <LinksUpToDate>false</LinksUpToDate>
  <CharactersWithSpaces>77409</CharactersWithSpaces>
  <SharedDoc>false</SharedDoc>
  <HLinks>
    <vt:vector size="132" baseType="variant">
      <vt:variant>
        <vt:i4>3211309</vt:i4>
      </vt:variant>
      <vt:variant>
        <vt:i4>120</vt:i4>
      </vt:variant>
      <vt:variant>
        <vt:i4>0</vt:i4>
      </vt:variant>
      <vt:variant>
        <vt:i4>5</vt:i4>
      </vt:variant>
      <vt:variant>
        <vt:lpwstr>http://www.youtube.com/consumervic</vt:lpwstr>
      </vt:variant>
      <vt:variant>
        <vt:lpwstr/>
      </vt:variant>
      <vt:variant>
        <vt:i4>7536702</vt:i4>
      </vt:variant>
      <vt:variant>
        <vt:i4>117</vt:i4>
      </vt:variant>
      <vt:variant>
        <vt:i4>0</vt:i4>
      </vt:variant>
      <vt:variant>
        <vt:i4>5</vt:i4>
      </vt:variant>
      <vt:variant>
        <vt:lpwstr>https://twitter.com/consumervic</vt:lpwstr>
      </vt:variant>
      <vt:variant>
        <vt:lpwstr/>
      </vt:variant>
      <vt:variant>
        <vt:i4>4718659</vt:i4>
      </vt:variant>
      <vt:variant>
        <vt:i4>114</vt:i4>
      </vt:variant>
      <vt:variant>
        <vt:i4>0</vt:i4>
      </vt:variant>
      <vt:variant>
        <vt:i4>5</vt:i4>
      </vt:variant>
      <vt:variant>
        <vt:lpwstr>https://www.facebook.com/ConsumerAffairsVictoria</vt:lpwstr>
      </vt:variant>
      <vt:variant>
        <vt:lpwstr/>
      </vt:variant>
      <vt:variant>
        <vt:i4>65536</vt:i4>
      </vt:variant>
      <vt:variant>
        <vt:i4>111</vt:i4>
      </vt:variant>
      <vt:variant>
        <vt:i4>0</vt:i4>
      </vt:variant>
      <vt:variant>
        <vt:i4>5</vt:i4>
      </vt:variant>
      <vt:variant>
        <vt:lpwstr>https://www.consumer.vic.gov.au/</vt:lpwstr>
      </vt:variant>
      <vt:variant>
        <vt:lpwstr/>
      </vt:variant>
      <vt:variant>
        <vt:i4>1900594</vt:i4>
      </vt:variant>
      <vt:variant>
        <vt:i4>104</vt:i4>
      </vt:variant>
      <vt:variant>
        <vt:i4>0</vt:i4>
      </vt:variant>
      <vt:variant>
        <vt:i4>5</vt:i4>
      </vt:variant>
      <vt:variant>
        <vt:lpwstr/>
      </vt:variant>
      <vt:variant>
        <vt:lpwstr>_Toc524534097</vt:lpwstr>
      </vt:variant>
      <vt:variant>
        <vt:i4>1900594</vt:i4>
      </vt:variant>
      <vt:variant>
        <vt:i4>98</vt:i4>
      </vt:variant>
      <vt:variant>
        <vt:i4>0</vt:i4>
      </vt:variant>
      <vt:variant>
        <vt:i4>5</vt:i4>
      </vt:variant>
      <vt:variant>
        <vt:lpwstr/>
      </vt:variant>
      <vt:variant>
        <vt:lpwstr>_Toc524534096</vt:lpwstr>
      </vt:variant>
      <vt:variant>
        <vt:i4>1900594</vt:i4>
      </vt:variant>
      <vt:variant>
        <vt:i4>92</vt:i4>
      </vt:variant>
      <vt:variant>
        <vt:i4>0</vt:i4>
      </vt:variant>
      <vt:variant>
        <vt:i4>5</vt:i4>
      </vt:variant>
      <vt:variant>
        <vt:lpwstr/>
      </vt:variant>
      <vt:variant>
        <vt:lpwstr>_Toc524534095</vt:lpwstr>
      </vt:variant>
      <vt:variant>
        <vt:i4>1900594</vt:i4>
      </vt:variant>
      <vt:variant>
        <vt:i4>86</vt:i4>
      </vt:variant>
      <vt:variant>
        <vt:i4>0</vt:i4>
      </vt:variant>
      <vt:variant>
        <vt:i4>5</vt:i4>
      </vt:variant>
      <vt:variant>
        <vt:lpwstr/>
      </vt:variant>
      <vt:variant>
        <vt:lpwstr>_Toc524534094</vt:lpwstr>
      </vt:variant>
      <vt:variant>
        <vt:i4>1900594</vt:i4>
      </vt:variant>
      <vt:variant>
        <vt:i4>80</vt:i4>
      </vt:variant>
      <vt:variant>
        <vt:i4>0</vt:i4>
      </vt:variant>
      <vt:variant>
        <vt:i4>5</vt:i4>
      </vt:variant>
      <vt:variant>
        <vt:lpwstr/>
      </vt:variant>
      <vt:variant>
        <vt:lpwstr>_Toc524534093</vt:lpwstr>
      </vt:variant>
      <vt:variant>
        <vt:i4>1900594</vt:i4>
      </vt:variant>
      <vt:variant>
        <vt:i4>74</vt:i4>
      </vt:variant>
      <vt:variant>
        <vt:i4>0</vt:i4>
      </vt:variant>
      <vt:variant>
        <vt:i4>5</vt:i4>
      </vt:variant>
      <vt:variant>
        <vt:lpwstr/>
      </vt:variant>
      <vt:variant>
        <vt:lpwstr>_Toc524534092</vt:lpwstr>
      </vt:variant>
      <vt:variant>
        <vt:i4>1900594</vt:i4>
      </vt:variant>
      <vt:variant>
        <vt:i4>68</vt:i4>
      </vt:variant>
      <vt:variant>
        <vt:i4>0</vt:i4>
      </vt:variant>
      <vt:variant>
        <vt:i4>5</vt:i4>
      </vt:variant>
      <vt:variant>
        <vt:lpwstr/>
      </vt:variant>
      <vt:variant>
        <vt:lpwstr>_Toc524534091</vt:lpwstr>
      </vt:variant>
      <vt:variant>
        <vt:i4>1900594</vt:i4>
      </vt:variant>
      <vt:variant>
        <vt:i4>62</vt:i4>
      </vt:variant>
      <vt:variant>
        <vt:i4>0</vt:i4>
      </vt:variant>
      <vt:variant>
        <vt:i4>5</vt:i4>
      </vt:variant>
      <vt:variant>
        <vt:lpwstr/>
      </vt:variant>
      <vt:variant>
        <vt:lpwstr>_Toc524534090</vt:lpwstr>
      </vt:variant>
      <vt:variant>
        <vt:i4>1835058</vt:i4>
      </vt:variant>
      <vt:variant>
        <vt:i4>56</vt:i4>
      </vt:variant>
      <vt:variant>
        <vt:i4>0</vt:i4>
      </vt:variant>
      <vt:variant>
        <vt:i4>5</vt:i4>
      </vt:variant>
      <vt:variant>
        <vt:lpwstr/>
      </vt:variant>
      <vt:variant>
        <vt:lpwstr>_Toc524534089</vt:lpwstr>
      </vt:variant>
      <vt:variant>
        <vt:i4>1835058</vt:i4>
      </vt:variant>
      <vt:variant>
        <vt:i4>50</vt:i4>
      </vt:variant>
      <vt:variant>
        <vt:i4>0</vt:i4>
      </vt:variant>
      <vt:variant>
        <vt:i4>5</vt:i4>
      </vt:variant>
      <vt:variant>
        <vt:lpwstr/>
      </vt:variant>
      <vt:variant>
        <vt:lpwstr>_Toc524534088</vt:lpwstr>
      </vt:variant>
      <vt:variant>
        <vt:i4>1835058</vt:i4>
      </vt:variant>
      <vt:variant>
        <vt:i4>44</vt:i4>
      </vt:variant>
      <vt:variant>
        <vt:i4>0</vt:i4>
      </vt:variant>
      <vt:variant>
        <vt:i4>5</vt:i4>
      </vt:variant>
      <vt:variant>
        <vt:lpwstr/>
      </vt:variant>
      <vt:variant>
        <vt:lpwstr>_Toc524534087</vt:lpwstr>
      </vt:variant>
      <vt:variant>
        <vt:i4>1835058</vt:i4>
      </vt:variant>
      <vt:variant>
        <vt:i4>38</vt:i4>
      </vt:variant>
      <vt:variant>
        <vt:i4>0</vt:i4>
      </vt:variant>
      <vt:variant>
        <vt:i4>5</vt:i4>
      </vt:variant>
      <vt:variant>
        <vt:lpwstr/>
      </vt:variant>
      <vt:variant>
        <vt:lpwstr>_Toc524534086</vt:lpwstr>
      </vt:variant>
      <vt:variant>
        <vt:i4>1835058</vt:i4>
      </vt:variant>
      <vt:variant>
        <vt:i4>32</vt:i4>
      </vt:variant>
      <vt:variant>
        <vt:i4>0</vt:i4>
      </vt:variant>
      <vt:variant>
        <vt:i4>5</vt:i4>
      </vt:variant>
      <vt:variant>
        <vt:lpwstr/>
      </vt:variant>
      <vt:variant>
        <vt:lpwstr>_Toc524534085</vt:lpwstr>
      </vt:variant>
      <vt:variant>
        <vt:i4>1835058</vt:i4>
      </vt:variant>
      <vt:variant>
        <vt:i4>26</vt:i4>
      </vt:variant>
      <vt:variant>
        <vt:i4>0</vt:i4>
      </vt:variant>
      <vt:variant>
        <vt:i4>5</vt:i4>
      </vt:variant>
      <vt:variant>
        <vt:lpwstr/>
      </vt:variant>
      <vt:variant>
        <vt:lpwstr>_Toc524534084</vt:lpwstr>
      </vt:variant>
      <vt:variant>
        <vt:i4>1835058</vt:i4>
      </vt:variant>
      <vt:variant>
        <vt:i4>20</vt:i4>
      </vt:variant>
      <vt:variant>
        <vt:i4>0</vt:i4>
      </vt:variant>
      <vt:variant>
        <vt:i4>5</vt:i4>
      </vt:variant>
      <vt:variant>
        <vt:lpwstr/>
      </vt:variant>
      <vt:variant>
        <vt:lpwstr>_Toc524534083</vt:lpwstr>
      </vt:variant>
      <vt:variant>
        <vt:i4>1835058</vt:i4>
      </vt:variant>
      <vt:variant>
        <vt:i4>14</vt:i4>
      </vt:variant>
      <vt:variant>
        <vt:i4>0</vt:i4>
      </vt:variant>
      <vt:variant>
        <vt:i4>5</vt:i4>
      </vt:variant>
      <vt:variant>
        <vt:lpwstr/>
      </vt:variant>
      <vt:variant>
        <vt:lpwstr>_Toc524534082</vt:lpwstr>
      </vt:variant>
      <vt:variant>
        <vt:i4>1835058</vt:i4>
      </vt:variant>
      <vt:variant>
        <vt:i4>8</vt:i4>
      </vt:variant>
      <vt:variant>
        <vt:i4>0</vt:i4>
      </vt:variant>
      <vt:variant>
        <vt:i4>5</vt:i4>
      </vt:variant>
      <vt:variant>
        <vt:lpwstr/>
      </vt:variant>
      <vt:variant>
        <vt:lpwstr>_Toc524534081</vt:lpwstr>
      </vt:variant>
      <vt:variant>
        <vt:i4>1835058</vt:i4>
      </vt:variant>
      <vt:variant>
        <vt:i4>2</vt:i4>
      </vt:variant>
      <vt:variant>
        <vt:i4>0</vt:i4>
      </vt:variant>
      <vt:variant>
        <vt:i4>5</vt:i4>
      </vt:variant>
      <vt:variant>
        <vt:lpwstr/>
      </vt:variant>
      <vt:variant>
        <vt:lpwstr>_Toc524534080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Affairs Victoria Annual Report 2023-24</dc:title>
  <dc:subject/>
  <dc:creator>Consumer Affairs Victoria</dc:creator>
  <cp:keywords/>
  <dc:description/>
  <cp:lastModifiedBy>David M Darragh (DGS)</cp:lastModifiedBy>
  <cp:revision>2</cp:revision>
  <cp:lastPrinted>2024-10-24T23:50:00Z</cp:lastPrinted>
  <dcterms:created xsi:type="dcterms:W3CDTF">2024-11-27T01:56:00Z</dcterms:created>
  <dcterms:modified xsi:type="dcterms:W3CDTF">2024-11-27T01:56:00Z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273d2910,585932ea,390440ed</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7158ebbd-6c5e-441f-bfc9-4eb8c11e3978_Enabled">
    <vt:lpwstr>true</vt:lpwstr>
  </property>
  <property fmtid="{D5CDD505-2E9C-101B-9397-08002B2CF9AE}" pid="7" name="MSIP_Label_7158ebbd-6c5e-441f-bfc9-4eb8c11e3978_SetDate">
    <vt:lpwstr>2024-11-27T01:49:45Z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38081e8d-e565-465b-aefb-b11936b5ef76</vt:lpwstr>
  </property>
  <property fmtid="{D5CDD505-2E9C-101B-9397-08002B2CF9AE}" pid="12" name="MSIP_Label_7158ebbd-6c5e-441f-bfc9-4eb8c11e3978_ContentBits">
    <vt:lpwstr>2</vt:lpwstr>
  </property>
</Properties>
</file>