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BDF5" w14:textId="77777777" w:rsidR="005112F5" w:rsidRPr="00A60503" w:rsidRDefault="005112F5" w:rsidP="005112F5">
      <w:pPr>
        <w:rPr>
          <w:rFonts w:asciiTheme="minorHAnsi" w:hAnsiTheme="minorHAnsi" w:cstheme="minorHAnsi"/>
          <w:b/>
          <w:sz w:val="40"/>
          <w:szCs w:val="40"/>
        </w:rPr>
      </w:pPr>
      <w:r w:rsidRPr="00A60503">
        <w:rPr>
          <w:rFonts w:asciiTheme="minorHAnsi" w:hAnsiTheme="minorHAnsi" w:cstheme="minorHAnsi"/>
          <w:b/>
          <w:sz w:val="40"/>
          <w:szCs w:val="40"/>
        </w:rPr>
        <w:t>Model rules for an owners corporation</w:t>
      </w:r>
    </w:p>
    <w:p w14:paraId="57D72683"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1.</w:t>
      </w:r>
      <w:r w:rsidRPr="00A60503">
        <w:rPr>
          <w:rFonts w:asciiTheme="minorHAnsi" w:hAnsiTheme="minorHAnsi" w:cstheme="minorHAnsi"/>
          <w:b/>
          <w:sz w:val="36"/>
          <w:szCs w:val="36"/>
        </w:rPr>
        <w:tab/>
        <w:t>Health, safety and security</w:t>
      </w:r>
    </w:p>
    <w:p w14:paraId="73ED4681"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1.1</w:t>
      </w:r>
      <w:r w:rsidRPr="00A60503">
        <w:rPr>
          <w:rFonts w:asciiTheme="minorHAnsi" w:hAnsiTheme="minorHAnsi" w:cstheme="minorHAnsi"/>
          <w:b/>
          <w:sz w:val="32"/>
          <w:szCs w:val="32"/>
        </w:rPr>
        <w:tab/>
        <w:t>Health, safety and security of lot owners, occupiers of lots and others</w:t>
      </w:r>
    </w:p>
    <w:p w14:paraId="70B6B7A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 lot owner or occupier must not use the lot, or permit it to be used, so as to cause a hazard to the health, safety and security of an owner, oc</w:t>
      </w:r>
      <w:r w:rsidR="00254257" w:rsidRPr="00A60503">
        <w:rPr>
          <w:rFonts w:asciiTheme="minorHAnsi" w:hAnsiTheme="minorHAnsi" w:cstheme="minorHAnsi"/>
          <w:sz w:val="20"/>
        </w:rPr>
        <w:t>cupier, or user of another lot.</w:t>
      </w:r>
    </w:p>
    <w:p w14:paraId="2CB14895" w14:textId="77777777" w:rsidR="005112F5" w:rsidRPr="00A60503" w:rsidRDefault="005112F5" w:rsidP="005112F5">
      <w:pPr>
        <w:rPr>
          <w:rFonts w:asciiTheme="minorHAnsi" w:hAnsiTheme="minorHAnsi" w:cstheme="minorHAnsi"/>
          <w:sz w:val="20"/>
        </w:rPr>
      </w:pPr>
    </w:p>
    <w:p w14:paraId="283A42CA"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1.2</w:t>
      </w:r>
      <w:r w:rsidRPr="00A60503">
        <w:rPr>
          <w:rFonts w:asciiTheme="minorHAnsi" w:hAnsiTheme="minorHAnsi" w:cstheme="minorHAnsi"/>
          <w:b/>
          <w:sz w:val="32"/>
          <w:szCs w:val="32"/>
        </w:rPr>
        <w:tab/>
        <w:t>Storage of flammable liquids and other dangerous substances and materials</w:t>
      </w:r>
    </w:p>
    <w:p w14:paraId="5E20FDDF"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Except with the approval in writing of the owners corporation, an owner or occupier of a lot must not use or store on the lot or on the common property any flammable chemical, liquid or gas or other flammable material.</w:t>
      </w:r>
    </w:p>
    <w:p w14:paraId="32B8409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This rule does not apply to—</w:t>
      </w:r>
    </w:p>
    <w:p w14:paraId="6192758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(a)</w:t>
      </w:r>
      <w:r w:rsidRPr="00A60503">
        <w:rPr>
          <w:rFonts w:asciiTheme="minorHAnsi" w:hAnsiTheme="minorHAnsi" w:cstheme="minorHAnsi"/>
          <w:sz w:val="20"/>
        </w:rPr>
        <w:tab/>
        <w:t xml:space="preserve">chemicals, liquids, gases or other material used or intended to be used for domestic purposes; or </w:t>
      </w:r>
    </w:p>
    <w:p w14:paraId="4AB3E7B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(b)</w:t>
      </w:r>
      <w:r w:rsidRPr="00A60503">
        <w:rPr>
          <w:rFonts w:asciiTheme="minorHAnsi" w:hAnsiTheme="minorHAnsi" w:cstheme="minorHAnsi"/>
          <w:sz w:val="20"/>
        </w:rPr>
        <w:tab/>
        <w:t>any chemical, liquid, gas or other material in a fuel tank of a motor vehicle or internal combustion engine.</w:t>
      </w:r>
    </w:p>
    <w:p w14:paraId="72CCC38C" w14:textId="77777777" w:rsidR="005112F5" w:rsidRPr="00A60503" w:rsidRDefault="005112F5" w:rsidP="005112F5">
      <w:pPr>
        <w:rPr>
          <w:rFonts w:asciiTheme="minorHAnsi" w:hAnsiTheme="minorHAnsi" w:cstheme="minorHAnsi"/>
          <w:sz w:val="20"/>
        </w:rPr>
      </w:pPr>
    </w:p>
    <w:p w14:paraId="3476C5ED"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1.3</w:t>
      </w:r>
      <w:r w:rsidRPr="00A60503">
        <w:rPr>
          <w:rFonts w:asciiTheme="minorHAnsi" w:hAnsiTheme="minorHAnsi" w:cstheme="minorHAnsi"/>
          <w:b/>
          <w:sz w:val="32"/>
          <w:szCs w:val="32"/>
        </w:rPr>
        <w:tab/>
        <w:t>Waste disposal</w:t>
      </w:r>
    </w:p>
    <w:p w14:paraId="4B93D68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must ensure that the disposal of garbage or waste does not adversely affect the health, hygiene or comfort of the occupiers or users of other lots.</w:t>
      </w:r>
    </w:p>
    <w:p w14:paraId="01992906" w14:textId="77777777" w:rsidR="005112F5" w:rsidRPr="00A60503" w:rsidRDefault="005112F5" w:rsidP="005112F5">
      <w:pPr>
        <w:rPr>
          <w:rFonts w:asciiTheme="minorHAnsi" w:hAnsiTheme="minorHAnsi" w:cstheme="minorHAnsi"/>
          <w:sz w:val="20"/>
        </w:rPr>
      </w:pPr>
    </w:p>
    <w:p w14:paraId="390F3C43" w14:textId="6C681BED" w:rsidR="00EB633F" w:rsidRPr="00A60503" w:rsidRDefault="00EB633F" w:rsidP="00EB633F">
      <w:pPr>
        <w:rPr>
          <w:rFonts w:asciiTheme="minorHAnsi" w:hAnsiTheme="minorHAnsi" w:cstheme="minorHAnsi"/>
          <w:b/>
          <w:sz w:val="32"/>
          <w:szCs w:val="32"/>
        </w:rPr>
      </w:pPr>
      <w:r w:rsidRPr="00A60503">
        <w:rPr>
          <w:rFonts w:asciiTheme="minorHAnsi" w:hAnsiTheme="minorHAnsi" w:cstheme="minorHAnsi"/>
          <w:b/>
          <w:sz w:val="32"/>
          <w:szCs w:val="32"/>
        </w:rPr>
        <w:t>1.</w:t>
      </w:r>
      <w:r w:rsidRPr="00A60503">
        <w:rPr>
          <w:rFonts w:asciiTheme="minorHAnsi" w:hAnsiTheme="minorHAnsi" w:cstheme="minorHAnsi"/>
          <w:b/>
          <w:sz w:val="32"/>
          <w:szCs w:val="32"/>
        </w:rPr>
        <w:t>4</w:t>
      </w:r>
      <w:r w:rsidRPr="00A60503">
        <w:rPr>
          <w:rFonts w:asciiTheme="minorHAnsi" w:hAnsiTheme="minorHAnsi" w:cstheme="minorHAnsi"/>
          <w:b/>
          <w:sz w:val="32"/>
          <w:szCs w:val="32"/>
        </w:rPr>
        <w:tab/>
      </w:r>
      <w:r w:rsidRPr="00A60503">
        <w:rPr>
          <w:rFonts w:asciiTheme="minorHAnsi" w:hAnsiTheme="minorHAnsi" w:cstheme="minorHAnsi"/>
          <w:b/>
          <w:sz w:val="32"/>
          <w:szCs w:val="32"/>
        </w:rPr>
        <w:t>Smoke penetration</w:t>
      </w:r>
    </w:p>
    <w:p w14:paraId="1887B846" w14:textId="6C46DCB6" w:rsidR="00EB633F" w:rsidRPr="00A60503" w:rsidRDefault="004F2691" w:rsidP="00EB633F">
      <w:pPr>
        <w:rPr>
          <w:rFonts w:asciiTheme="minorHAnsi" w:hAnsiTheme="minorHAnsi" w:cstheme="minorHAnsi"/>
          <w:sz w:val="20"/>
        </w:rPr>
      </w:pPr>
      <w:r w:rsidRPr="00A60503">
        <w:rPr>
          <w:rFonts w:asciiTheme="minorHAnsi" w:hAnsiTheme="minorHAnsi" w:cstheme="minorHAnsi"/>
          <w:sz w:val="20"/>
        </w:rPr>
        <w:t>A lot owner or occupier in a multi-level development must ensure that smoke caused by the smoking of tobacco or any other substance by the owner or occupier, or any invitee of the owner or occupier, on the lot does not penetrate to the common property or any other lot.</w:t>
      </w:r>
    </w:p>
    <w:p w14:paraId="29B5186B" w14:textId="77777777" w:rsidR="00EB633F" w:rsidRPr="00A60503" w:rsidRDefault="00EB633F" w:rsidP="00EB633F">
      <w:pPr>
        <w:rPr>
          <w:rFonts w:asciiTheme="minorHAnsi" w:hAnsiTheme="minorHAnsi" w:cstheme="minorHAnsi"/>
          <w:sz w:val="20"/>
        </w:rPr>
      </w:pPr>
    </w:p>
    <w:p w14:paraId="30C4117D" w14:textId="2E14B45C" w:rsidR="00EB633F" w:rsidRPr="00A60503" w:rsidRDefault="00EB633F" w:rsidP="00EB633F">
      <w:pPr>
        <w:rPr>
          <w:rFonts w:asciiTheme="minorHAnsi" w:hAnsiTheme="minorHAnsi" w:cstheme="minorHAnsi"/>
          <w:b/>
          <w:sz w:val="32"/>
          <w:szCs w:val="32"/>
        </w:rPr>
      </w:pPr>
      <w:r w:rsidRPr="00A60503">
        <w:rPr>
          <w:rFonts w:asciiTheme="minorHAnsi" w:hAnsiTheme="minorHAnsi" w:cstheme="minorHAnsi"/>
          <w:b/>
          <w:sz w:val="32"/>
          <w:szCs w:val="32"/>
        </w:rPr>
        <w:t>1.</w:t>
      </w:r>
      <w:r w:rsidR="004F2691" w:rsidRPr="00A60503">
        <w:rPr>
          <w:rFonts w:asciiTheme="minorHAnsi" w:hAnsiTheme="minorHAnsi" w:cstheme="minorHAnsi"/>
          <w:b/>
          <w:sz w:val="32"/>
          <w:szCs w:val="32"/>
        </w:rPr>
        <w:t>5</w:t>
      </w:r>
      <w:r w:rsidRPr="00A60503">
        <w:rPr>
          <w:rFonts w:asciiTheme="minorHAnsi" w:hAnsiTheme="minorHAnsi" w:cstheme="minorHAnsi"/>
          <w:b/>
          <w:sz w:val="32"/>
          <w:szCs w:val="32"/>
        </w:rPr>
        <w:tab/>
      </w:r>
      <w:r w:rsidR="004F2691" w:rsidRPr="00A60503">
        <w:rPr>
          <w:rFonts w:asciiTheme="minorHAnsi" w:hAnsiTheme="minorHAnsi" w:cstheme="minorHAnsi"/>
          <w:b/>
          <w:sz w:val="32"/>
          <w:szCs w:val="32"/>
        </w:rPr>
        <w:t>Fire safety information</w:t>
      </w:r>
    </w:p>
    <w:p w14:paraId="6CDFAD91" w14:textId="0CF0E6D4" w:rsidR="00EB633F" w:rsidRPr="00A60503" w:rsidRDefault="00604E13" w:rsidP="00EB633F">
      <w:pPr>
        <w:rPr>
          <w:rFonts w:asciiTheme="minorHAnsi" w:hAnsiTheme="minorHAnsi" w:cstheme="minorHAnsi"/>
          <w:sz w:val="20"/>
        </w:rPr>
      </w:pPr>
      <w:r w:rsidRPr="00A60503">
        <w:rPr>
          <w:rFonts w:asciiTheme="minorHAnsi" w:hAnsiTheme="minorHAnsi" w:cstheme="minorHAnsi"/>
          <w:sz w:val="20"/>
        </w:rPr>
        <w:t>A lot owner must ensure that any occupier of the lot owner’s lot is provided with a copy of fire safety advice and any emergency preparedness plan that exists in relation to the lot prior to the occupier commencing occupation of the lot.</w:t>
      </w:r>
    </w:p>
    <w:p w14:paraId="5C12869D" w14:textId="77777777" w:rsidR="00EB633F" w:rsidRPr="00A60503" w:rsidRDefault="00EB633F" w:rsidP="00EB633F">
      <w:pPr>
        <w:rPr>
          <w:rFonts w:asciiTheme="minorHAnsi" w:hAnsiTheme="minorHAnsi" w:cstheme="minorHAnsi"/>
          <w:sz w:val="20"/>
        </w:rPr>
      </w:pPr>
    </w:p>
    <w:p w14:paraId="6BC77EF4"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2.</w:t>
      </w:r>
      <w:r w:rsidRPr="00A60503">
        <w:rPr>
          <w:rFonts w:asciiTheme="minorHAnsi" w:hAnsiTheme="minorHAnsi" w:cstheme="minorHAnsi"/>
          <w:b/>
          <w:sz w:val="36"/>
          <w:szCs w:val="36"/>
        </w:rPr>
        <w:tab/>
        <w:t>Committees and sub-committees</w:t>
      </w:r>
    </w:p>
    <w:p w14:paraId="5F5E442F"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2.1</w:t>
      </w:r>
      <w:r w:rsidRPr="00A60503">
        <w:rPr>
          <w:rFonts w:asciiTheme="minorHAnsi" w:hAnsiTheme="minorHAnsi" w:cstheme="minorHAnsi"/>
          <w:b/>
          <w:sz w:val="32"/>
          <w:szCs w:val="32"/>
        </w:rPr>
        <w:tab/>
        <w:t>Functions, powers and reporting of committees and sub-committees</w:t>
      </w:r>
    </w:p>
    <w:p w14:paraId="3E6AB9E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 committee may appoint members to a sub committee without reference to the owners corporation.</w:t>
      </w:r>
    </w:p>
    <w:p w14:paraId="1F69E1C7" w14:textId="77777777" w:rsidR="00254257" w:rsidRPr="00A60503" w:rsidRDefault="00254257" w:rsidP="005112F5">
      <w:pPr>
        <w:rPr>
          <w:rFonts w:asciiTheme="minorHAnsi" w:hAnsiTheme="minorHAnsi" w:cstheme="minorHAnsi"/>
          <w:sz w:val="20"/>
        </w:rPr>
      </w:pPr>
    </w:p>
    <w:p w14:paraId="3C075E7E"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lastRenderedPageBreak/>
        <w:t>3.</w:t>
      </w:r>
      <w:r w:rsidRPr="00A60503">
        <w:rPr>
          <w:rFonts w:asciiTheme="minorHAnsi" w:hAnsiTheme="minorHAnsi" w:cstheme="minorHAnsi"/>
          <w:b/>
          <w:sz w:val="36"/>
          <w:szCs w:val="36"/>
        </w:rPr>
        <w:tab/>
        <w:t>Management and administration</w:t>
      </w:r>
    </w:p>
    <w:p w14:paraId="01C0E164"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3.1</w:t>
      </w:r>
      <w:r w:rsidRPr="00A60503">
        <w:rPr>
          <w:rFonts w:asciiTheme="minorHAnsi" w:hAnsiTheme="minorHAnsi" w:cstheme="minorHAnsi"/>
          <w:b/>
          <w:sz w:val="32"/>
          <w:szCs w:val="32"/>
        </w:rPr>
        <w:tab/>
        <w:t>Metering of services and apportionment of costs of services</w:t>
      </w:r>
    </w:p>
    <w:p w14:paraId="5F937618"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The owners corporation must not seek payment or reimbursement for a cost or charge from a lot owner or occupier that is more than the amount that the supplier would have charged the lot owner or occupier for the same goods or services.</w:t>
      </w:r>
    </w:p>
    <w:p w14:paraId="37265C7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If a supplier has issued an account to the owners corporation, the owners corporation cannot recover from the lot owner or occupier an amount which includes any amount that is able to be claimed as a concession or rebate by or on behalf of the lot owner or occupier from the relevant supplier.</w:t>
      </w:r>
    </w:p>
    <w:p w14:paraId="55B6720F"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Subrule (2) does not apply if the concession or rebate—</w:t>
      </w:r>
    </w:p>
    <w:p w14:paraId="53429D10"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(a)</w:t>
      </w:r>
      <w:r w:rsidRPr="00A60503">
        <w:rPr>
          <w:rFonts w:asciiTheme="minorHAnsi" w:hAnsiTheme="minorHAnsi" w:cstheme="minorHAnsi"/>
          <w:sz w:val="20"/>
        </w:rPr>
        <w:tab/>
        <w:t>must be claimed by the lot owner or occupier and the owners corporation has given the lot owner or occupier an opportunity to claim it and the lot owner or occupier has not done so by the payment date set by the relevant supplier; or</w:t>
      </w:r>
    </w:p>
    <w:p w14:paraId="3D905311"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(b)</w:t>
      </w:r>
      <w:r w:rsidRPr="00A60503">
        <w:rPr>
          <w:rFonts w:asciiTheme="minorHAnsi" w:hAnsiTheme="minorHAnsi" w:cstheme="minorHAnsi"/>
          <w:sz w:val="20"/>
        </w:rPr>
        <w:tab/>
        <w:t>is paid directly to the lot owner or occupier as a refund.</w:t>
      </w:r>
    </w:p>
    <w:p w14:paraId="64CF8E5D" w14:textId="77777777" w:rsidR="005112F5" w:rsidRPr="00A60503" w:rsidRDefault="005112F5" w:rsidP="005112F5">
      <w:pPr>
        <w:rPr>
          <w:rFonts w:asciiTheme="minorHAnsi" w:hAnsiTheme="minorHAnsi" w:cstheme="minorHAnsi"/>
          <w:sz w:val="20"/>
        </w:rPr>
      </w:pPr>
    </w:p>
    <w:p w14:paraId="099561CD"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4.</w:t>
      </w:r>
      <w:r w:rsidRPr="00A60503">
        <w:rPr>
          <w:rFonts w:asciiTheme="minorHAnsi" w:hAnsiTheme="minorHAnsi" w:cstheme="minorHAnsi"/>
          <w:b/>
          <w:sz w:val="36"/>
          <w:szCs w:val="36"/>
        </w:rPr>
        <w:tab/>
        <w:t>Use of common property</w:t>
      </w:r>
    </w:p>
    <w:p w14:paraId="42D5AB0C"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4.1</w:t>
      </w:r>
      <w:r w:rsidRPr="00A60503">
        <w:rPr>
          <w:rFonts w:asciiTheme="minorHAnsi" w:hAnsiTheme="minorHAnsi" w:cstheme="minorHAnsi"/>
          <w:b/>
          <w:sz w:val="32"/>
          <w:szCs w:val="32"/>
        </w:rPr>
        <w:tab/>
        <w:t>Use of common property</w:t>
      </w:r>
    </w:p>
    <w:p w14:paraId="1A0FC05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must not obstruct the lawful use and enjoyment of the common property by any other person entitled to use the common property.</w:t>
      </w:r>
    </w:p>
    <w:p w14:paraId="69522F9A"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An owner or occupier of a lot must not, without the written approval of the owners corporation, use for the owner or occupier's own purposes as a garden any portion of the common property.</w:t>
      </w:r>
    </w:p>
    <w:p w14:paraId="10F92607"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An approval under subrule (2) may state a period for which the approval is granted.</w:t>
      </w:r>
    </w:p>
    <w:p w14:paraId="4134906B"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t>If the owners corporation has resolved that an animal is a danger or is causing a nuisance to the common property, it must give reasonable notice of this resolution to the owner or occupier who is keeping the animal.</w:t>
      </w:r>
    </w:p>
    <w:p w14:paraId="1895235A"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(5)</w:t>
      </w:r>
      <w:r w:rsidRPr="00A60503">
        <w:rPr>
          <w:rFonts w:asciiTheme="minorHAnsi" w:hAnsiTheme="minorHAnsi" w:cstheme="minorHAnsi"/>
          <w:sz w:val="20"/>
        </w:rPr>
        <w:tab/>
        <w:t>An owner or occupier of a lot who is keeping an animal that is the subject of a notice under subrule (4) must remove that animal.</w:t>
      </w:r>
    </w:p>
    <w:p w14:paraId="2C79FC4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(6)</w:t>
      </w:r>
      <w:r w:rsidRPr="00A60503">
        <w:rPr>
          <w:rFonts w:asciiTheme="minorHAnsi" w:hAnsiTheme="minorHAnsi" w:cstheme="minorHAnsi"/>
          <w:sz w:val="20"/>
        </w:rPr>
        <w:tab/>
        <w:t>Subrules (4) and (5) do not apply to an animal that assists a person with an impairment or disability.</w:t>
      </w:r>
    </w:p>
    <w:p w14:paraId="764CE51A" w14:textId="5656E2FE" w:rsidR="009044DC" w:rsidRPr="00A60503" w:rsidRDefault="009044DC" w:rsidP="005112F5">
      <w:pPr>
        <w:rPr>
          <w:rFonts w:asciiTheme="minorHAnsi" w:hAnsiTheme="minorHAnsi" w:cstheme="minorHAnsi"/>
          <w:sz w:val="20"/>
        </w:rPr>
      </w:pPr>
      <w:r w:rsidRPr="00A60503">
        <w:rPr>
          <w:rFonts w:asciiTheme="minorHAnsi" w:hAnsiTheme="minorHAnsi" w:cstheme="minorHAnsi"/>
          <w:sz w:val="20"/>
        </w:rPr>
        <w:t>(7)</w:t>
      </w:r>
      <w:r w:rsidRPr="00A60503">
        <w:rPr>
          <w:rFonts w:asciiTheme="minorHAnsi" w:hAnsiTheme="minorHAnsi" w:cstheme="minorHAnsi"/>
          <w:sz w:val="20"/>
        </w:rPr>
        <w:tab/>
      </w:r>
      <w:r w:rsidRPr="00A60503">
        <w:rPr>
          <w:rFonts w:asciiTheme="minorHAnsi" w:hAnsiTheme="minorHAnsi" w:cstheme="minorHAnsi"/>
          <w:sz w:val="20"/>
        </w:rPr>
        <w:t>The owners corporation may impose reasonable conditions on a lot owner's right or an occupier's right to access or use common property to protect the quiet enjoyment, safety and security of other lot owners, including but not limited to imposing operating hours on facilities such as gymnasiums and swimming pools.</w:t>
      </w:r>
    </w:p>
    <w:p w14:paraId="5ED0F02F" w14:textId="77777777" w:rsidR="005112F5" w:rsidRPr="00A60503" w:rsidRDefault="005112F5" w:rsidP="005112F5">
      <w:pPr>
        <w:rPr>
          <w:rFonts w:asciiTheme="minorHAnsi" w:hAnsiTheme="minorHAnsi" w:cstheme="minorHAnsi"/>
          <w:sz w:val="20"/>
        </w:rPr>
      </w:pPr>
    </w:p>
    <w:p w14:paraId="109B2F97"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4.2</w:t>
      </w:r>
      <w:r w:rsidRPr="00A60503">
        <w:rPr>
          <w:rFonts w:asciiTheme="minorHAnsi" w:hAnsiTheme="minorHAnsi" w:cstheme="minorHAnsi"/>
          <w:b/>
          <w:sz w:val="32"/>
          <w:szCs w:val="32"/>
        </w:rPr>
        <w:tab/>
        <w:t>Vehicles and parking on common property</w:t>
      </w:r>
    </w:p>
    <w:p w14:paraId="2C7D78A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not, unless in the case of an emergency, park or leave a motor vehicle or other vehicle or permit a motor vehicle or other vehicle—</w:t>
      </w:r>
    </w:p>
    <w:p w14:paraId="6489FBA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(a)</w:t>
      </w:r>
      <w:r w:rsidRPr="00A60503">
        <w:rPr>
          <w:rFonts w:asciiTheme="minorHAnsi" w:hAnsiTheme="minorHAnsi" w:cstheme="minorHAnsi"/>
          <w:sz w:val="20"/>
        </w:rPr>
        <w:tab/>
        <w:t>to be parked or left in parking spaces situated on common property and allocated for other lots; or</w:t>
      </w:r>
    </w:p>
    <w:p w14:paraId="1C88FC5C"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(b)</w:t>
      </w:r>
      <w:r w:rsidRPr="00A60503">
        <w:rPr>
          <w:rFonts w:asciiTheme="minorHAnsi" w:hAnsiTheme="minorHAnsi" w:cstheme="minorHAnsi"/>
          <w:sz w:val="20"/>
        </w:rPr>
        <w:tab/>
        <w:t>on the common property so as to obstruct a driveway, pathway, entrance or exit to a lot; or</w:t>
      </w:r>
    </w:p>
    <w:p w14:paraId="4E46071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(c)</w:t>
      </w:r>
      <w:r w:rsidRPr="00A60503">
        <w:rPr>
          <w:rFonts w:asciiTheme="minorHAnsi" w:hAnsiTheme="minorHAnsi" w:cstheme="minorHAnsi"/>
          <w:sz w:val="20"/>
        </w:rPr>
        <w:tab/>
        <w:t>in any place other than a parking area situated on common property specified for that purpose by the owners corporation.</w:t>
      </w:r>
    </w:p>
    <w:p w14:paraId="6F8B3454" w14:textId="77777777" w:rsidR="005112F5" w:rsidRPr="00A60503" w:rsidRDefault="005112F5" w:rsidP="005112F5">
      <w:pPr>
        <w:rPr>
          <w:rFonts w:asciiTheme="minorHAnsi" w:hAnsiTheme="minorHAnsi" w:cstheme="minorHAnsi"/>
          <w:sz w:val="20"/>
        </w:rPr>
      </w:pPr>
    </w:p>
    <w:p w14:paraId="4A636A15"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lastRenderedPageBreak/>
        <w:t>4.3</w:t>
      </w:r>
      <w:r w:rsidRPr="00A60503">
        <w:rPr>
          <w:rFonts w:asciiTheme="minorHAnsi" w:hAnsiTheme="minorHAnsi" w:cstheme="minorHAnsi"/>
          <w:b/>
          <w:sz w:val="32"/>
          <w:szCs w:val="32"/>
        </w:rPr>
        <w:tab/>
        <w:t>Damage to common property</w:t>
      </w:r>
    </w:p>
    <w:p w14:paraId="62E9934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must not damage or alter the common property without the written approval of the owners corporation.</w:t>
      </w:r>
    </w:p>
    <w:p w14:paraId="35C4CB7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An owner or occupier of a lot must not damage or alter a structure that forms part of the common property without the written approval of the owners corporation.</w:t>
      </w:r>
    </w:p>
    <w:p w14:paraId="59BF3E1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An approval under subrule (1) or (2) may state a period for which the approval is granted, and may specify the works and conditions to which the approval is subject.</w:t>
      </w:r>
    </w:p>
    <w:p w14:paraId="18BD133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t>An owner or person authorised by an owner may install a locking or safety device to protect the lot against intruders, or a screen or barrier to prevent entry of animals or insects, if the device, screen or barrier is soundly built and is consistent with the colour, style and materials of the building.</w:t>
      </w:r>
    </w:p>
    <w:p w14:paraId="2896837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(5)</w:t>
      </w:r>
      <w:r w:rsidRPr="00A60503">
        <w:rPr>
          <w:rFonts w:asciiTheme="minorHAnsi" w:hAnsiTheme="minorHAnsi" w:cstheme="minorHAnsi"/>
          <w:sz w:val="20"/>
        </w:rPr>
        <w:tab/>
        <w:t>The owner or person referred to in subrule (4) must keep any device, screen or barrier installed in good order and repair.</w:t>
      </w:r>
    </w:p>
    <w:p w14:paraId="313F24D5" w14:textId="77777777" w:rsidR="005112F5" w:rsidRPr="00A60503" w:rsidRDefault="005112F5" w:rsidP="005112F5">
      <w:pPr>
        <w:rPr>
          <w:rFonts w:asciiTheme="minorHAnsi" w:hAnsiTheme="minorHAnsi" w:cstheme="minorHAnsi"/>
          <w:sz w:val="20"/>
        </w:rPr>
      </w:pPr>
    </w:p>
    <w:p w14:paraId="5E74D1B9" w14:textId="77777777" w:rsidR="00254257"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5.</w:t>
      </w:r>
      <w:r w:rsidRPr="00A60503">
        <w:rPr>
          <w:rFonts w:asciiTheme="minorHAnsi" w:hAnsiTheme="minorHAnsi" w:cstheme="minorHAnsi"/>
          <w:b/>
          <w:sz w:val="36"/>
          <w:szCs w:val="36"/>
        </w:rPr>
        <w:tab/>
        <w:t>Lots</w:t>
      </w:r>
    </w:p>
    <w:p w14:paraId="429E97F3"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5.1</w:t>
      </w:r>
      <w:r w:rsidRPr="00A60503">
        <w:rPr>
          <w:rFonts w:asciiTheme="minorHAnsi" w:hAnsiTheme="minorHAnsi" w:cstheme="minorHAnsi"/>
          <w:b/>
          <w:sz w:val="32"/>
          <w:szCs w:val="32"/>
        </w:rPr>
        <w:tab/>
        <w:t>Change of use of lots</w:t>
      </w:r>
    </w:p>
    <w:p w14:paraId="593814C6"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give written notification to the owners corporation if the owner or occupier changes the existing use of the lot in a way that will affect the insurance premiums for the owners corporation.</w:t>
      </w:r>
    </w:p>
    <w:p w14:paraId="5781E56B" w14:textId="77777777" w:rsidR="005112F5" w:rsidRPr="00A60503" w:rsidRDefault="005112F5" w:rsidP="005112F5">
      <w:pPr>
        <w:rPr>
          <w:rFonts w:asciiTheme="minorHAnsi" w:hAnsiTheme="minorHAnsi" w:cstheme="minorHAnsi"/>
          <w:b/>
          <w:sz w:val="28"/>
          <w:szCs w:val="28"/>
        </w:rPr>
      </w:pPr>
      <w:r w:rsidRPr="00A60503">
        <w:rPr>
          <w:rFonts w:asciiTheme="minorHAnsi" w:hAnsiTheme="minorHAnsi" w:cstheme="minorHAnsi"/>
          <w:b/>
          <w:sz w:val="28"/>
          <w:szCs w:val="28"/>
        </w:rPr>
        <w:t>Example</w:t>
      </w:r>
    </w:p>
    <w:p w14:paraId="2D4B0C8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If the change of use results in a hazardous activity being carried out on the lot, or results in the lot being used for commercial or industrial purposes rather than residential purposes.</w:t>
      </w:r>
    </w:p>
    <w:p w14:paraId="332C0B35"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5.2</w:t>
      </w:r>
      <w:r w:rsidRPr="00A60503">
        <w:rPr>
          <w:rFonts w:asciiTheme="minorHAnsi" w:hAnsiTheme="minorHAnsi" w:cstheme="minorHAnsi"/>
          <w:b/>
          <w:sz w:val="32"/>
          <w:szCs w:val="32"/>
        </w:rPr>
        <w:tab/>
        <w:t>External appearance of lots</w:t>
      </w:r>
    </w:p>
    <w:p w14:paraId="3BB6AF4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must obtain the written approval of the owners corporation before making any changes to the external appearance of their lot.</w:t>
      </w:r>
    </w:p>
    <w:p w14:paraId="6A6EBAB0"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An owners corporation cannot unreasonably withhold approval, but may give approval subject to reasonable conditions to protect quiet enjoyment of other lot owners, structural integrity or the value of other lots and/or common property.</w:t>
      </w:r>
    </w:p>
    <w:p w14:paraId="795E3297" w14:textId="3F5ABEF9" w:rsidR="008F01B9" w:rsidRPr="00A60503" w:rsidRDefault="008F01B9" w:rsidP="008F01B9">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r>
      <w:r w:rsidRPr="00A60503">
        <w:rPr>
          <w:rFonts w:asciiTheme="minorHAnsi" w:hAnsiTheme="minorHAnsi" w:cstheme="minorHAnsi"/>
          <w:sz w:val="20"/>
        </w:rPr>
        <w:t>The owners corporation cannot unreasonably prohibit the installation of sustainability items on the exterior of the lot, including by prohibiting the installation of a sustainability item only on aesthetic grounds.</w:t>
      </w:r>
    </w:p>
    <w:p w14:paraId="2DC7C0B8" w14:textId="021C47FA" w:rsidR="008F01B9" w:rsidRPr="00A60503" w:rsidRDefault="008F01B9" w:rsidP="008F01B9">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r>
      <w:r w:rsidRPr="00A60503">
        <w:rPr>
          <w:rFonts w:asciiTheme="minorHAnsi" w:hAnsiTheme="minorHAnsi" w:cstheme="minorHAnsi"/>
          <w:sz w:val="20"/>
        </w:rPr>
        <w:t>The owners corporation may require that the location of a sustainability item, or the works involved in installing a sustainability item, must not unreasonably disrupt the quiet enjoyment of other lot owners or occupiers or impede reasonable access to, or the use of, any other lot or the common property.</w:t>
      </w:r>
    </w:p>
    <w:p w14:paraId="7E795D86" w14:textId="7708241E" w:rsidR="008F01B9" w:rsidRPr="00A60503" w:rsidRDefault="008F01B9" w:rsidP="008F01B9">
      <w:pPr>
        <w:rPr>
          <w:rFonts w:asciiTheme="minorHAnsi" w:hAnsiTheme="minorHAnsi" w:cstheme="minorHAnsi"/>
          <w:sz w:val="20"/>
        </w:rPr>
      </w:pPr>
      <w:r w:rsidRPr="00A60503">
        <w:rPr>
          <w:rFonts w:asciiTheme="minorHAnsi" w:hAnsiTheme="minorHAnsi" w:cstheme="minorHAnsi"/>
          <w:sz w:val="20"/>
        </w:rPr>
        <w:t>(5)</w:t>
      </w:r>
      <w:r w:rsidR="006921FD" w:rsidRPr="00A60503">
        <w:rPr>
          <w:rFonts w:asciiTheme="minorHAnsi" w:hAnsiTheme="minorHAnsi" w:cstheme="minorHAnsi"/>
          <w:sz w:val="20"/>
        </w:rPr>
        <w:tab/>
      </w:r>
      <w:r w:rsidRPr="00A60503">
        <w:rPr>
          <w:rFonts w:asciiTheme="minorHAnsi" w:hAnsiTheme="minorHAnsi" w:cstheme="minorHAnsi"/>
          <w:sz w:val="20"/>
        </w:rPr>
        <w:t>The owners corporation may impose reasonable conditions on the installation of a sustainability item on the exterior of the lot related to the colour, mounting and location of the sustainability item provided that these conditions do not increase the cost of installing the sustainability item or reduce its impact as a sustainability item.</w:t>
      </w:r>
    </w:p>
    <w:p w14:paraId="34FCDCDC"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5.3</w:t>
      </w:r>
      <w:r w:rsidRPr="00A60503">
        <w:rPr>
          <w:rFonts w:asciiTheme="minorHAnsi" w:hAnsiTheme="minorHAnsi" w:cstheme="minorHAnsi"/>
          <w:b/>
          <w:sz w:val="32"/>
          <w:szCs w:val="32"/>
        </w:rPr>
        <w:tab/>
        <w:t>Requiring notice to the owners corporation of renovations to lots</w:t>
      </w:r>
    </w:p>
    <w:p w14:paraId="63B1C57A"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notify the owners corporation when undertaking any renovations or other works that may affect the common property and/or other lot owners' or occupiers' enjoyment of the common property.</w:t>
      </w:r>
    </w:p>
    <w:p w14:paraId="35F1C631" w14:textId="77777777" w:rsidR="00254257" w:rsidRPr="00A60503" w:rsidRDefault="00254257" w:rsidP="005112F5">
      <w:pPr>
        <w:rPr>
          <w:rFonts w:asciiTheme="minorHAnsi" w:hAnsiTheme="minorHAnsi" w:cstheme="minorHAnsi"/>
          <w:sz w:val="20"/>
        </w:rPr>
      </w:pPr>
    </w:p>
    <w:p w14:paraId="174D1CB8"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lastRenderedPageBreak/>
        <w:t>6</w:t>
      </w:r>
      <w:r w:rsidR="00254257" w:rsidRPr="00A60503">
        <w:rPr>
          <w:rFonts w:asciiTheme="minorHAnsi" w:hAnsiTheme="minorHAnsi" w:cstheme="minorHAnsi"/>
          <w:b/>
          <w:sz w:val="36"/>
          <w:szCs w:val="36"/>
        </w:rPr>
        <w:t>.</w:t>
      </w:r>
      <w:r w:rsidRPr="00A60503">
        <w:rPr>
          <w:rFonts w:asciiTheme="minorHAnsi" w:hAnsiTheme="minorHAnsi" w:cstheme="minorHAnsi"/>
          <w:b/>
          <w:sz w:val="36"/>
          <w:szCs w:val="36"/>
        </w:rPr>
        <w:tab/>
        <w:t>Behaviour of persons</w:t>
      </w:r>
    </w:p>
    <w:p w14:paraId="04538D4C"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6.1</w:t>
      </w:r>
      <w:r w:rsidRPr="00A60503">
        <w:rPr>
          <w:rFonts w:asciiTheme="minorHAnsi" w:hAnsiTheme="minorHAnsi" w:cstheme="minorHAnsi"/>
          <w:b/>
          <w:sz w:val="32"/>
          <w:szCs w:val="32"/>
        </w:rPr>
        <w:tab/>
        <w:t>Behaviour of owners, occupiers and invitees on common property</w:t>
      </w:r>
    </w:p>
    <w:p w14:paraId="146056E8"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take all reasonable steps to ensure that guests of the owner or occupier do not behave in a manner likely to unreasonably interfere with the peaceful enjoyment of any other person entitled to use the common property.</w:t>
      </w:r>
    </w:p>
    <w:p w14:paraId="4EF2C1E5"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6.2</w:t>
      </w:r>
      <w:r w:rsidRPr="00A60503">
        <w:rPr>
          <w:rFonts w:asciiTheme="minorHAnsi" w:hAnsiTheme="minorHAnsi" w:cstheme="minorHAnsi"/>
          <w:b/>
          <w:sz w:val="32"/>
          <w:szCs w:val="32"/>
        </w:rPr>
        <w:tab/>
        <w:t>Noise and other nuisance control</w:t>
      </w:r>
    </w:p>
    <w:p w14:paraId="5205503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or a guest of an owner or occupier, must not unreasonably create any noise likely to interfere with the peaceful enjoyment of any other person entitled to use the common property.</w:t>
      </w:r>
    </w:p>
    <w:p w14:paraId="30E27E7C"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Subrule (1) does not apply to the making of a noise if the owners corporation has given written permission for the noise to be made.</w:t>
      </w:r>
    </w:p>
    <w:p w14:paraId="7C1B193C" w14:textId="77777777" w:rsidR="00254257" w:rsidRPr="00A60503" w:rsidRDefault="00254257" w:rsidP="005112F5">
      <w:pPr>
        <w:rPr>
          <w:rFonts w:asciiTheme="minorHAnsi" w:hAnsiTheme="minorHAnsi" w:cstheme="minorHAnsi"/>
          <w:sz w:val="20"/>
        </w:rPr>
      </w:pPr>
    </w:p>
    <w:p w14:paraId="36A409DC"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7</w:t>
      </w:r>
      <w:r w:rsidR="00254257" w:rsidRPr="00A60503">
        <w:rPr>
          <w:rFonts w:asciiTheme="minorHAnsi" w:hAnsiTheme="minorHAnsi" w:cstheme="minorHAnsi"/>
          <w:b/>
          <w:sz w:val="36"/>
          <w:szCs w:val="36"/>
        </w:rPr>
        <w:t>.</w:t>
      </w:r>
      <w:r w:rsidRPr="00A60503">
        <w:rPr>
          <w:rFonts w:asciiTheme="minorHAnsi" w:hAnsiTheme="minorHAnsi" w:cstheme="minorHAnsi"/>
          <w:b/>
          <w:sz w:val="36"/>
          <w:szCs w:val="36"/>
        </w:rPr>
        <w:tab/>
        <w:t>Dispute resolution</w:t>
      </w:r>
    </w:p>
    <w:p w14:paraId="4E1B0886"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The grievance procedure set out in this rule applies to disputes involving a lot owner, manager, or an occupier or the owners corporation.</w:t>
      </w:r>
    </w:p>
    <w:p w14:paraId="7E22E11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The party making the complaint must prepare a written statement in the approved form.</w:t>
      </w:r>
    </w:p>
    <w:p w14:paraId="1B21CBC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If there is a grievance committee of the owners corporation, it must be notified of the dispute by the complainant.</w:t>
      </w:r>
    </w:p>
    <w:p w14:paraId="7A927EF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t>If there is no grievance committee, the owners corporation must be notified of any dispute by the complainant, regardless of whether the owners corporation is an immediate party to the dispute.</w:t>
      </w:r>
    </w:p>
    <w:p w14:paraId="611D60A8"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(5)</w:t>
      </w:r>
      <w:r w:rsidRPr="00A60503">
        <w:rPr>
          <w:rFonts w:asciiTheme="minorHAnsi" w:hAnsiTheme="minorHAnsi" w:cstheme="minorHAnsi"/>
          <w:sz w:val="20"/>
        </w:rPr>
        <w:tab/>
        <w:t>The parties to the dispute must meet and discuss the matter in dispute, along with either the grievance committee or the owners corporation, within 14 working days after the dispute comes to the attention of all the parties.</w:t>
      </w:r>
    </w:p>
    <w:p w14:paraId="06CF8732" w14:textId="599A3EE2" w:rsidR="00A41A07" w:rsidRPr="00A60503" w:rsidRDefault="00A41A07" w:rsidP="00A60503">
      <w:pPr>
        <w:ind w:left="720"/>
        <w:rPr>
          <w:rFonts w:asciiTheme="minorHAnsi" w:hAnsiTheme="minorHAnsi" w:cstheme="minorHAnsi"/>
          <w:sz w:val="20"/>
        </w:rPr>
      </w:pPr>
      <w:r w:rsidRPr="00A60503">
        <w:rPr>
          <w:rFonts w:asciiTheme="minorHAnsi" w:hAnsiTheme="minorHAnsi" w:cstheme="minorHAnsi"/>
          <w:sz w:val="20"/>
        </w:rPr>
        <w:t>(5A)</w:t>
      </w:r>
      <w:r w:rsidRPr="00A60503">
        <w:rPr>
          <w:rFonts w:asciiTheme="minorHAnsi" w:hAnsiTheme="minorHAnsi" w:cstheme="minorHAnsi"/>
          <w:sz w:val="20"/>
        </w:rPr>
        <w:tab/>
      </w:r>
      <w:r w:rsidRPr="00A60503">
        <w:rPr>
          <w:rFonts w:asciiTheme="minorHAnsi" w:hAnsiTheme="minorHAnsi" w:cstheme="minorHAnsi"/>
          <w:sz w:val="20"/>
        </w:rPr>
        <w:t>A meeting under subrule (5) may be held in person or by teleconferencing, including by videoconference.</w:t>
      </w:r>
    </w:p>
    <w:p w14:paraId="3F11FD5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(6)</w:t>
      </w:r>
      <w:r w:rsidRPr="00A60503">
        <w:rPr>
          <w:rFonts w:asciiTheme="minorHAnsi" w:hAnsiTheme="minorHAnsi" w:cstheme="minorHAnsi"/>
          <w:sz w:val="20"/>
        </w:rPr>
        <w:tab/>
        <w:t>A party to the dispute may appoint a person to act or appear on the party's behalf at the meeting.</w:t>
      </w:r>
    </w:p>
    <w:p w14:paraId="0C989288" w14:textId="5AB9B00B" w:rsidR="0096258B" w:rsidRPr="00A60503" w:rsidRDefault="0096258B" w:rsidP="00A60503">
      <w:pPr>
        <w:ind w:left="720"/>
        <w:rPr>
          <w:rFonts w:asciiTheme="minorHAnsi" w:hAnsiTheme="minorHAnsi" w:cstheme="minorHAnsi"/>
          <w:sz w:val="20"/>
        </w:rPr>
      </w:pPr>
      <w:r w:rsidRPr="00A60503">
        <w:rPr>
          <w:rFonts w:asciiTheme="minorHAnsi" w:hAnsiTheme="minorHAnsi" w:cstheme="minorHAnsi"/>
          <w:sz w:val="20"/>
        </w:rPr>
        <w:t>(6A)</w:t>
      </w:r>
      <w:r w:rsidR="00F71AB6" w:rsidRPr="00A60503">
        <w:rPr>
          <w:rFonts w:asciiTheme="minorHAnsi" w:hAnsiTheme="minorHAnsi" w:cstheme="minorHAnsi"/>
          <w:sz w:val="20"/>
        </w:rPr>
        <w:tab/>
      </w:r>
      <w:r w:rsidRPr="00A60503">
        <w:rPr>
          <w:rFonts w:asciiTheme="minorHAnsi" w:hAnsiTheme="minorHAnsi" w:cstheme="minorHAnsi"/>
          <w:sz w:val="20"/>
        </w:rPr>
        <w:t>Subject to subrule (6B), the grievance committee may elect to obtain expert evidence to assist with the resolution of the dispute.</w:t>
      </w:r>
    </w:p>
    <w:p w14:paraId="6A9DC565" w14:textId="527E3905" w:rsidR="0096258B" w:rsidRPr="00A60503" w:rsidRDefault="0096258B" w:rsidP="00A60503">
      <w:pPr>
        <w:ind w:left="720"/>
        <w:rPr>
          <w:rFonts w:asciiTheme="minorHAnsi" w:hAnsiTheme="minorHAnsi" w:cstheme="minorHAnsi"/>
          <w:sz w:val="20"/>
        </w:rPr>
      </w:pPr>
      <w:r w:rsidRPr="00A60503">
        <w:rPr>
          <w:rFonts w:asciiTheme="minorHAnsi" w:hAnsiTheme="minorHAnsi" w:cstheme="minorHAnsi"/>
          <w:sz w:val="20"/>
        </w:rPr>
        <w:t>(6B)</w:t>
      </w:r>
      <w:r w:rsidR="00F71AB6" w:rsidRPr="00A60503">
        <w:rPr>
          <w:rFonts w:asciiTheme="minorHAnsi" w:hAnsiTheme="minorHAnsi" w:cstheme="minorHAnsi"/>
          <w:sz w:val="20"/>
        </w:rPr>
        <w:tab/>
      </w:r>
      <w:r w:rsidRPr="00A60503">
        <w:rPr>
          <w:rFonts w:asciiTheme="minorHAnsi" w:hAnsiTheme="minorHAnsi" w:cstheme="minorHAnsi"/>
          <w:sz w:val="20"/>
        </w:rPr>
        <w:t>The grievance committee may obtain expert evidence to assist with the resolution of a dispute if the owners corporation or the parties to the dispute agree in writing to pay for the cost of obtaining that expert evidence.</w:t>
      </w:r>
    </w:p>
    <w:p w14:paraId="303123E3"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(7)</w:t>
      </w:r>
      <w:r w:rsidRPr="00A60503">
        <w:rPr>
          <w:rFonts w:asciiTheme="minorHAnsi" w:hAnsiTheme="minorHAnsi" w:cstheme="minorHAnsi"/>
          <w:sz w:val="20"/>
        </w:rPr>
        <w:tab/>
        <w:t xml:space="preserve">If the dispute is not resolved, the grievance committee or owners corporation must notify each party of the party's right to take further action under Part 10 of the </w:t>
      </w:r>
      <w:r w:rsidRPr="00A60503">
        <w:rPr>
          <w:rFonts w:asciiTheme="minorHAnsi" w:hAnsiTheme="minorHAnsi" w:cstheme="minorHAnsi"/>
          <w:i/>
          <w:sz w:val="20"/>
        </w:rPr>
        <w:t>Owners Corporations Act 2006</w:t>
      </w:r>
      <w:r w:rsidRPr="00A60503">
        <w:rPr>
          <w:rFonts w:asciiTheme="minorHAnsi" w:hAnsiTheme="minorHAnsi" w:cstheme="minorHAnsi"/>
          <w:sz w:val="20"/>
        </w:rPr>
        <w:t>.</w:t>
      </w:r>
    </w:p>
    <w:p w14:paraId="683A8C29" w14:textId="77777777" w:rsidR="004C2BE0" w:rsidRPr="00A60503" w:rsidRDefault="005112F5" w:rsidP="005112F5">
      <w:pPr>
        <w:rPr>
          <w:rFonts w:asciiTheme="minorHAnsi" w:hAnsiTheme="minorHAnsi" w:cstheme="minorHAnsi"/>
        </w:rPr>
      </w:pPr>
      <w:r w:rsidRPr="00A60503">
        <w:rPr>
          <w:rFonts w:asciiTheme="minorHAnsi" w:hAnsiTheme="minorHAnsi" w:cstheme="minorHAnsi"/>
          <w:sz w:val="20"/>
        </w:rPr>
        <w:t>(8)</w:t>
      </w:r>
      <w:r w:rsidRPr="00A60503">
        <w:rPr>
          <w:rFonts w:asciiTheme="minorHAnsi" w:hAnsiTheme="minorHAnsi" w:cstheme="minorHAnsi"/>
          <w:sz w:val="20"/>
        </w:rPr>
        <w:tab/>
        <w:t xml:space="preserve">This process is separate from and does not limit any further action under Part 10 of the </w:t>
      </w:r>
      <w:r w:rsidRPr="00A60503">
        <w:rPr>
          <w:rFonts w:asciiTheme="minorHAnsi" w:hAnsiTheme="minorHAnsi" w:cstheme="minorHAnsi"/>
          <w:i/>
          <w:sz w:val="20"/>
        </w:rPr>
        <w:t>Owners Corporations Act 2006</w:t>
      </w:r>
      <w:r w:rsidRPr="00A60503">
        <w:rPr>
          <w:rFonts w:asciiTheme="minorHAnsi" w:hAnsiTheme="minorHAnsi" w:cstheme="minorHAnsi"/>
          <w:sz w:val="20"/>
        </w:rPr>
        <w:t>.</w:t>
      </w:r>
    </w:p>
    <w:sectPr w:rsidR="004C2BE0" w:rsidRPr="00A60503" w:rsidSect="003427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35EC" w14:textId="77777777" w:rsidR="001F6FE3" w:rsidRDefault="001F6FE3" w:rsidP="00CD78B9">
      <w:pPr>
        <w:spacing w:before="0"/>
      </w:pPr>
      <w:r>
        <w:separator/>
      </w:r>
    </w:p>
  </w:endnote>
  <w:endnote w:type="continuationSeparator" w:id="0">
    <w:p w14:paraId="6C1F4275" w14:textId="77777777" w:rsidR="001F6FE3" w:rsidRDefault="001F6FE3" w:rsidP="00CD78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1848" w14:textId="77777777" w:rsidR="001F6FE3" w:rsidRDefault="001F6FE3" w:rsidP="00CD78B9">
      <w:pPr>
        <w:spacing w:before="0"/>
      </w:pPr>
      <w:r>
        <w:separator/>
      </w:r>
    </w:p>
  </w:footnote>
  <w:footnote w:type="continuationSeparator" w:id="0">
    <w:p w14:paraId="7A4F1D83" w14:textId="77777777" w:rsidR="001F6FE3" w:rsidRDefault="001F6FE3" w:rsidP="00CD78B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81"/>
    <w:rsid w:val="001F6FE3"/>
    <w:rsid w:val="00254257"/>
    <w:rsid w:val="00342773"/>
    <w:rsid w:val="004F2691"/>
    <w:rsid w:val="005112F5"/>
    <w:rsid w:val="00520A22"/>
    <w:rsid w:val="0055415F"/>
    <w:rsid w:val="00604E13"/>
    <w:rsid w:val="00660971"/>
    <w:rsid w:val="006921FD"/>
    <w:rsid w:val="00790AEC"/>
    <w:rsid w:val="008F01B9"/>
    <w:rsid w:val="009044DC"/>
    <w:rsid w:val="0096258B"/>
    <w:rsid w:val="00A41A07"/>
    <w:rsid w:val="00A60503"/>
    <w:rsid w:val="00AB1E7B"/>
    <w:rsid w:val="00B03081"/>
    <w:rsid w:val="00CD78B9"/>
    <w:rsid w:val="00EB633F"/>
    <w:rsid w:val="00F71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1E674"/>
  <w15:chartTrackingRefBased/>
  <w15:docId w15:val="{2ED6632C-97D5-4244-B583-155141EE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81"/>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next w:val="Normal"/>
    <w:link w:val="Heading1Char"/>
    <w:qFormat/>
    <w:rsid w:val="00B03081"/>
    <w:pPr>
      <w:keepNext/>
      <w:numPr>
        <w:numId w:val="1"/>
      </w:numPr>
      <w:overflowPunct w:val="0"/>
      <w:autoSpaceDE w:val="0"/>
      <w:autoSpaceDN w:val="0"/>
      <w:adjustRightInd w:val="0"/>
      <w:spacing w:before="240" w:after="0" w:line="240" w:lineRule="auto"/>
      <w:textAlignment w:val="baseline"/>
      <w:outlineLvl w:val="0"/>
    </w:pPr>
    <w:rPr>
      <w:rFonts w:ascii="Times New Roman" w:eastAsia="Times New Roman" w:hAnsi="Times New Roman" w:cs="Times New Roman"/>
      <w:b/>
      <w:i/>
      <w:kern w:val="28"/>
      <w:sz w:val="24"/>
      <w:szCs w:val="20"/>
    </w:rPr>
  </w:style>
  <w:style w:type="paragraph" w:styleId="Heading2">
    <w:name w:val="heading 2"/>
    <w:next w:val="Normal"/>
    <w:link w:val="Heading2Char"/>
    <w:qFormat/>
    <w:rsid w:val="00B03081"/>
    <w:pPr>
      <w:keepNext/>
      <w:numPr>
        <w:ilvl w:val="1"/>
        <w:numId w:val="1"/>
      </w:numPr>
      <w:overflowPunct w:val="0"/>
      <w:autoSpaceDE w:val="0"/>
      <w:autoSpaceDN w:val="0"/>
      <w:adjustRightInd w:val="0"/>
      <w:spacing w:before="120" w:after="0" w:line="240" w:lineRule="auto"/>
      <w:textAlignment w:val="baseline"/>
      <w:outlineLvl w:val="1"/>
    </w:pPr>
    <w:rPr>
      <w:rFonts w:ascii="Times New Roman" w:eastAsia="Times New Roman" w:hAnsi="Times New Roman" w:cs="Times New Roman"/>
      <w:sz w:val="24"/>
      <w:szCs w:val="20"/>
    </w:rPr>
  </w:style>
  <w:style w:type="paragraph" w:styleId="Heading3">
    <w:name w:val="heading 3"/>
    <w:next w:val="Normal"/>
    <w:link w:val="Heading3Char"/>
    <w:qFormat/>
    <w:rsid w:val="00B03081"/>
    <w:pPr>
      <w:keepNext/>
      <w:numPr>
        <w:ilvl w:val="2"/>
        <w:numId w:val="1"/>
      </w:num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sz w:val="24"/>
      <w:szCs w:val="20"/>
    </w:rPr>
  </w:style>
  <w:style w:type="paragraph" w:styleId="Heading4">
    <w:name w:val="heading 4"/>
    <w:next w:val="Normal"/>
    <w:link w:val="Heading4Char"/>
    <w:qFormat/>
    <w:rsid w:val="00B03081"/>
    <w:pPr>
      <w:keepNext/>
      <w:numPr>
        <w:ilvl w:val="3"/>
        <w:numId w:val="1"/>
      </w:numPr>
      <w:overflowPunct w:val="0"/>
      <w:autoSpaceDE w:val="0"/>
      <w:autoSpaceDN w:val="0"/>
      <w:adjustRightInd w:val="0"/>
      <w:spacing w:before="120" w:after="0" w:line="240" w:lineRule="auto"/>
      <w:textAlignment w:val="baseline"/>
      <w:outlineLvl w:val="3"/>
    </w:pPr>
    <w:rPr>
      <w:rFonts w:ascii="Times New Roman" w:eastAsia="Times New Roman" w:hAnsi="Times New Roman" w:cs="Times New Roman"/>
      <w:sz w:val="24"/>
      <w:szCs w:val="20"/>
    </w:rPr>
  </w:style>
  <w:style w:type="paragraph" w:styleId="Heading5">
    <w:name w:val="heading 5"/>
    <w:next w:val="Normal"/>
    <w:link w:val="Heading5Char"/>
    <w:qFormat/>
    <w:rsid w:val="00B03081"/>
    <w:pPr>
      <w:numPr>
        <w:ilvl w:val="4"/>
        <w:numId w:val="1"/>
      </w:numPr>
      <w:overflowPunct w:val="0"/>
      <w:autoSpaceDE w:val="0"/>
      <w:autoSpaceDN w:val="0"/>
      <w:adjustRightInd w:val="0"/>
      <w:spacing w:before="120" w:after="0" w:line="240" w:lineRule="auto"/>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B03081"/>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03081"/>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03081"/>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03081"/>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081"/>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0308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0308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03081"/>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03081"/>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03081"/>
    <w:rPr>
      <w:rFonts w:ascii="Arial" w:eastAsia="Times New Roman" w:hAnsi="Arial" w:cs="Times New Roman"/>
      <w:i/>
      <w:szCs w:val="20"/>
    </w:rPr>
  </w:style>
  <w:style w:type="character" w:customStyle="1" w:styleId="Heading7Char">
    <w:name w:val="Heading 7 Char"/>
    <w:basedOn w:val="DefaultParagraphFont"/>
    <w:link w:val="Heading7"/>
    <w:rsid w:val="00B03081"/>
    <w:rPr>
      <w:rFonts w:ascii="Arial" w:eastAsia="Times New Roman" w:hAnsi="Arial" w:cs="Times New Roman"/>
      <w:sz w:val="24"/>
      <w:szCs w:val="20"/>
    </w:rPr>
  </w:style>
  <w:style w:type="character" w:customStyle="1" w:styleId="Heading8Char">
    <w:name w:val="Heading 8 Char"/>
    <w:basedOn w:val="DefaultParagraphFont"/>
    <w:link w:val="Heading8"/>
    <w:rsid w:val="00B03081"/>
    <w:rPr>
      <w:rFonts w:ascii="Arial" w:eastAsia="Times New Roman" w:hAnsi="Arial" w:cs="Times New Roman"/>
      <w:i/>
      <w:sz w:val="24"/>
      <w:szCs w:val="20"/>
    </w:rPr>
  </w:style>
  <w:style w:type="character" w:customStyle="1" w:styleId="Heading9Char">
    <w:name w:val="Heading 9 Char"/>
    <w:basedOn w:val="DefaultParagraphFont"/>
    <w:link w:val="Heading9"/>
    <w:rsid w:val="00B03081"/>
    <w:rPr>
      <w:rFonts w:ascii="Arial" w:eastAsia="Times New Roman" w:hAnsi="Arial" w:cs="Times New Roman"/>
      <w:i/>
      <w:sz w:val="18"/>
      <w:szCs w:val="20"/>
    </w:rPr>
  </w:style>
  <w:style w:type="paragraph" w:customStyle="1" w:styleId="BodySectionSub">
    <w:name w:val="Body Section (Sub)"/>
    <w:next w:val="Normal"/>
    <w:rsid w:val="00B03081"/>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B03081"/>
    <w:pPr>
      <w:suppressLineNumbers w:val="0"/>
    </w:pPr>
  </w:style>
  <w:style w:type="paragraph" w:customStyle="1" w:styleId="DraftHeading3">
    <w:name w:val="Draft Heading 3"/>
    <w:basedOn w:val="Normal"/>
    <w:next w:val="Normal"/>
    <w:rsid w:val="00B03081"/>
    <w:pPr>
      <w:suppressLineNumbers w:val="0"/>
    </w:pPr>
  </w:style>
  <w:style w:type="paragraph" w:customStyle="1" w:styleId="Heading-PART">
    <w:name w:val="Heading - PART"/>
    <w:next w:val="Normal"/>
    <w:link w:val="Heading-PARTChar"/>
    <w:rsid w:val="00B03081"/>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DraftSectionEg">
    <w:name w:val="Draft Section Eg"/>
    <w:next w:val="Normal"/>
    <w:rsid w:val="00B03081"/>
    <w:pPr>
      <w:spacing w:before="120" w:after="0" w:line="240" w:lineRule="auto"/>
      <w:ind w:left="851"/>
    </w:pPr>
    <w:rPr>
      <w:rFonts w:ascii="Times New Roman" w:eastAsia="Times New Roman" w:hAnsi="Times New Roman" w:cs="Times New Roman"/>
      <w:sz w:val="20"/>
      <w:szCs w:val="20"/>
    </w:rPr>
  </w:style>
  <w:style w:type="paragraph" w:customStyle="1" w:styleId="DraftHeading1">
    <w:name w:val="Draft Heading 1"/>
    <w:basedOn w:val="Normal"/>
    <w:next w:val="Normal"/>
    <w:rsid w:val="00B03081"/>
    <w:pPr>
      <w:suppressLineNumbers w:val="0"/>
      <w:outlineLvl w:val="2"/>
    </w:pPr>
    <w:rPr>
      <w:b/>
      <w:szCs w:val="24"/>
    </w:rPr>
  </w:style>
  <w:style w:type="paragraph" w:customStyle="1" w:styleId="Normal-Schedule">
    <w:name w:val="Normal - Schedule"/>
    <w:rsid w:val="00B03081"/>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Heading-PARTChar">
    <w:name w:val="Heading - PART Char"/>
    <w:basedOn w:val="DefaultParagraphFont"/>
    <w:link w:val="Heading-PART"/>
    <w:rsid w:val="00B03081"/>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6" ma:contentTypeDescription="Create a new document." ma:contentTypeScope="" ma:versionID="79c233c9fde3aa329c065a3f5629d54c">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3d12a7f7112e4810ab6c329928f0b877"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created" ma:index="22" nillable="true" ma:displayName="Date created" ma:format="DateTime"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created xmlns="a0a21f9c-edc1-4b0f-a2f7-c6ac7f14bc31" xsi:nil="true"/>
    <Approvals xmlns="a0a21f9c-edc1-4b0f-a2f7-c6ac7f14bc31" xsi:nil="true"/>
  </documentManagement>
</p:properties>
</file>

<file path=customXml/itemProps1.xml><?xml version="1.0" encoding="utf-8"?>
<ds:datastoreItem xmlns:ds="http://schemas.openxmlformats.org/officeDocument/2006/customXml" ds:itemID="{AEADA8CA-5B5D-4F1A-A059-2BD0B04C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225E0-6F24-4F3C-B53D-D152ADA8DFFE}">
  <ds:schemaRefs>
    <ds:schemaRef ds:uri="http://schemas.microsoft.com/sharepoint/v3/contenttype/forms"/>
  </ds:schemaRefs>
</ds:datastoreItem>
</file>

<file path=customXml/itemProps3.xml><?xml version="1.0" encoding="utf-8"?>
<ds:datastoreItem xmlns:ds="http://schemas.openxmlformats.org/officeDocument/2006/customXml" ds:itemID="{68A6BCCB-E13D-48AB-813A-5306AA5B74A9}">
  <ds:schemaRefs>
    <ds:schemaRef ds:uri="http://schemas.microsoft.com/office/2006/metadata/properties"/>
    <ds:schemaRef ds:uri="http://schemas.microsoft.com/office/infopath/2007/PartnerControls"/>
    <ds:schemaRef ds:uri="a0a21f9c-edc1-4b0f-a2f7-c6ac7f14bc31"/>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Fiona L Creedy (DJCS)</cp:lastModifiedBy>
  <cp:revision>14</cp:revision>
  <dcterms:created xsi:type="dcterms:W3CDTF">2022-03-31T22:56:00Z</dcterms:created>
  <dcterms:modified xsi:type="dcterms:W3CDTF">2022-04-01T02:48:00Z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0x0101005265D79D61091942A4A1BAD50811B0D9</vt:lpwstr>
  </property>
</Properties>
</file>