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13" w:rsidRPr="00AF7250" w:rsidRDefault="00CC7613" w:rsidP="00CC7613">
      <w:pPr>
        <w:pStyle w:val="Heading1"/>
      </w:pPr>
      <w:bookmarkStart w:id="0" w:name="_Toc466019044"/>
      <w:bookmarkStart w:id="1" w:name="_Toc466280452"/>
      <w:bookmarkStart w:id="2" w:name="_Toc466280490"/>
      <w:bookmarkStart w:id="3" w:name="_Toc466292197"/>
      <w:bookmarkStart w:id="4" w:name="_Toc466377386"/>
      <w:bookmarkStart w:id="5" w:name="_Toc466448082"/>
      <w:bookmarkStart w:id="6" w:name="_Toc466553245"/>
      <w:bookmarkStart w:id="7" w:name="_Toc466622525"/>
      <w:bookmarkStart w:id="8" w:name="_Toc467069985"/>
      <w:bookmarkStart w:id="9" w:name="_Toc467851680"/>
      <w:bookmarkStart w:id="10" w:name="_Toc468703773"/>
      <w:bookmarkStart w:id="11" w:name="_Toc468712948"/>
      <w:bookmarkStart w:id="12" w:name="_Toc468712980"/>
      <w:bookmarkStart w:id="13" w:name="_Toc468713010"/>
      <w:bookmarkStart w:id="14" w:name="_Toc468805151"/>
      <w:bookmarkStart w:id="15" w:name="_Toc465258904"/>
      <w:bookmarkStart w:id="16" w:name="_Toc465260785"/>
      <w:bookmarkStart w:id="17" w:name="_Toc465346065"/>
      <w:bookmarkStart w:id="18" w:name="_Toc465347463"/>
      <w:bookmarkStart w:id="19" w:name="_Toc465848824"/>
      <w:bookmarkStart w:id="20" w:name="_Toc465155263"/>
      <w:bookmarkStart w:id="21" w:name="_Toc465156593"/>
      <w:bookmarkStart w:id="22" w:name="_Toc465156735"/>
      <w:r w:rsidRPr="00AF7250">
        <w:t xml:space="preserve">Request </w:t>
      </w:r>
      <w:r w:rsidRPr="00C8367F">
        <w:t>for</w:t>
      </w:r>
      <w:r w:rsidRPr="00AF7250">
        <w:t xml:space="preserve"> Service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C7613" w:rsidRPr="00EA58BF" w:rsidRDefault="00CC7613" w:rsidP="00CC7613">
      <w:pPr>
        <w:pStyle w:val="BodyText"/>
        <w:rPr>
          <w:rStyle w:val="BodyTextChar"/>
          <w:b/>
          <w:sz w:val="36"/>
          <w:szCs w:val="36"/>
        </w:rPr>
      </w:pPr>
      <w:r w:rsidRPr="00EA58BF">
        <w:rPr>
          <w:rStyle w:val="BodyTextChar"/>
          <w:b/>
          <w:sz w:val="36"/>
          <w:szCs w:val="36"/>
        </w:rPr>
        <w:t>Tenancy Assistance and Advocacy</w:t>
      </w:r>
      <w:bookmarkStart w:id="23" w:name="_Toc465258905"/>
      <w:bookmarkStart w:id="24" w:name="_Toc465260786"/>
      <w:bookmarkStart w:id="25" w:name="_Toc465346066"/>
      <w:bookmarkStart w:id="26" w:name="_Toc465347464"/>
      <w:bookmarkEnd w:id="15"/>
      <w:bookmarkEnd w:id="16"/>
      <w:bookmarkEnd w:id="17"/>
      <w:bookmarkEnd w:id="18"/>
      <w:r w:rsidRPr="00EA58BF">
        <w:rPr>
          <w:rStyle w:val="BodyTextChar"/>
          <w:b/>
          <w:sz w:val="36"/>
          <w:szCs w:val="36"/>
        </w:rPr>
        <w:t xml:space="preserve"> Program</w:t>
      </w:r>
      <w:bookmarkStart w:id="27" w:name="_Toc465848825"/>
      <w:bookmarkEnd w:id="19"/>
      <w:r w:rsidRPr="00EA58BF">
        <w:rPr>
          <w:rStyle w:val="BodyTextChar"/>
          <w:b/>
          <w:sz w:val="36"/>
          <w:szCs w:val="36"/>
        </w:rPr>
        <w:t xml:space="preserve"> 2017-21</w:t>
      </w:r>
      <w:bookmarkEnd w:id="23"/>
      <w:bookmarkEnd w:id="24"/>
      <w:bookmarkEnd w:id="25"/>
      <w:bookmarkEnd w:id="26"/>
      <w:bookmarkEnd w:id="27"/>
    </w:p>
    <w:p w:rsidR="00CC7613" w:rsidRDefault="00CC7613" w:rsidP="00CC7613">
      <w:pPr>
        <w:pStyle w:val="BodyText"/>
        <w:spacing w:before="1600" w:after="0"/>
      </w:pPr>
      <w:r>
        <w:t>December</w:t>
      </w:r>
      <w:r w:rsidRPr="00A818C0">
        <w:t xml:space="preserve"> 2016</w:t>
      </w:r>
    </w:p>
    <w:p w:rsidR="00CC7613" w:rsidRDefault="00CC7613" w:rsidP="00CC7613">
      <w:pPr>
        <w:pStyle w:val="BodyText"/>
        <w:spacing w:before="360"/>
      </w:pPr>
      <w:r>
        <w:rPr>
          <w:b/>
        </w:rPr>
        <w:t>Note</w:t>
      </w:r>
      <w:r>
        <w:t xml:space="preserve">: To </w:t>
      </w:r>
      <w:r w:rsidRPr="00984372">
        <w:t>indicate</w:t>
      </w:r>
      <w:r>
        <w:t xml:space="preserve"> your intention to apply and to receive notices about the Request for Service please email </w:t>
      </w:r>
      <w:hyperlink r:id="rId8" w:history="1">
        <w:r>
          <w:rPr>
            <w:rStyle w:val="Hyperlink"/>
          </w:rPr>
          <w:t>fundedservices@justice.vic.gov.au</w:t>
        </w:r>
      </w:hyperlink>
      <w:r>
        <w:t>, using the subject line ‘TAAP &lt;your organisation name&gt; &lt;the service area you are making an application for&gt; - RFS notices’</w:t>
      </w:r>
      <w:r>
        <w:br w:type="page"/>
      </w:r>
    </w:p>
    <w:bookmarkStart w:id="28" w:name="_Toc465161043" w:displacedByCustomXml="next"/>
    <w:sdt>
      <w:sdtPr>
        <w:rPr>
          <w:rFonts w:ascii="Calibri" w:hAnsi="Calibri" w:cs="Times New Roman"/>
          <w:b w:val="0"/>
          <w:bCs w:val="0"/>
          <w:color w:val="auto"/>
          <w:sz w:val="20"/>
          <w:szCs w:val="20"/>
          <w:lang w:eastAsia="en-US"/>
        </w:rPr>
        <w:id w:val="2003318340"/>
        <w:docPartObj>
          <w:docPartGallery w:val="Table of Contents"/>
          <w:docPartUnique/>
        </w:docPartObj>
      </w:sdtPr>
      <w:sdtEndPr>
        <w:rPr>
          <w:rFonts w:ascii="Arial" w:hAnsi="Arial" w:cs="Arial"/>
          <w:b/>
          <w:bCs/>
          <w:noProof/>
          <w:color w:val="000000" w:themeColor="text1"/>
          <w:sz w:val="36"/>
          <w:szCs w:val="26"/>
          <w:lang w:eastAsia="en-AU"/>
        </w:rPr>
      </w:sdtEndPr>
      <w:sdtContent>
        <w:bookmarkEnd w:id="28" w:displacedByCustomXml="prev"/>
        <w:bookmarkStart w:id="29" w:name="_Toc465161044" w:displacedByCustomXml="prev"/>
        <w:p w:rsidR="00CC7613" w:rsidRPr="00FC207F" w:rsidRDefault="00CC7613" w:rsidP="00CC7613">
          <w:pPr>
            <w:pStyle w:val="Heading2"/>
            <w:rPr>
              <w:b w:val="0"/>
              <w:bCs w:val="0"/>
              <w:color w:val="auto"/>
              <w:sz w:val="20"/>
              <w:szCs w:val="20"/>
              <w:lang w:eastAsia="en-US"/>
            </w:rPr>
          </w:pPr>
          <w:r w:rsidRPr="00FC207F">
            <w:rPr>
              <w:b w:val="0"/>
              <w:bCs w:val="0"/>
              <w:color w:val="auto"/>
              <w:sz w:val="20"/>
              <w:szCs w:val="20"/>
              <w:lang w:eastAsia="en-US"/>
            </w:rPr>
            <w:fldChar w:fldCharType="begin"/>
          </w:r>
          <w:r w:rsidRPr="00FC207F">
            <w:rPr>
              <w:b w:val="0"/>
              <w:bCs w:val="0"/>
              <w:color w:val="auto"/>
              <w:sz w:val="20"/>
              <w:szCs w:val="20"/>
              <w:lang w:eastAsia="en-US"/>
            </w:rPr>
            <w:instrText xml:space="preserve"> docproperty TRIMID </w:instrText>
          </w:r>
          <w:r w:rsidRPr="00FC207F">
            <w:rPr>
              <w:b w:val="0"/>
              <w:bCs w:val="0"/>
              <w:color w:val="auto"/>
              <w:sz w:val="20"/>
              <w:szCs w:val="20"/>
              <w:lang w:eastAsia="en-US"/>
            </w:rPr>
            <w:fldChar w:fldCharType="separate"/>
          </w:r>
          <w:bookmarkStart w:id="30" w:name="_Toc468703774"/>
          <w:bookmarkStart w:id="31" w:name="_Toc467069986"/>
          <w:bookmarkStart w:id="32" w:name="_Toc466292198"/>
          <w:bookmarkStart w:id="33" w:name="_Toc466280491"/>
          <w:bookmarkStart w:id="34" w:name="_Toc466280453"/>
          <w:bookmarkStart w:id="35" w:name="_Toc466019045"/>
          <w:bookmarkStart w:id="36" w:name="_Toc465866263"/>
          <w:bookmarkStart w:id="37" w:name="_Toc465849251"/>
          <w:bookmarkStart w:id="38" w:name="_Toc465427128"/>
          <w:bookmarkStart w:id="39" w:name="_Toc465939291"/>
          <w:bookmarkStart w:id="40" w:name="_Toc466015912"/>
          <w:bookmarkStart w:id="41" w:name="_Toc466377387"/>
          <w:bookmarkStart w:id="42" w:name="_Toc466448083"/>
          <w:bookmarkStart w:id="43" w:name="_Toc466553246"/>
          <w:bookmarkStart w:id="44" w:name="_Toc466622526"/>
          <w:bookmarkStart w:id="45" w:name="_Toc467851681"/>
          <w:bookmarkStart w:id="46" w:name="_Toc468712949"/>
          <w:bookmarkStart w:id="47" w:name="_Toc468712981"/>
          <w:bookmarkStart w:id="48" w:name="_Toc468713011"/>
          <w:bookmarkStart w:id="49" w:name="_Toc468805152"/>
          <w:r w:rsidR="005A71B7">
            <w:rPr>
              <w:b w:val="0"/>
              <w:bCs w:val="0"/>
              <w:color w:val="auto"/>
              <w:sz w:val="20"/>
              <w:szCs w:val="20"/>
              <w:lang w:eastAsia="en-US"/>
            </w:rPr>
            <w:t>CD/16/527359*</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FC207F">
            <w:rPr>
              <w:b w:val="0"/>
              <w:bCs w:val="0"/>
              <w:color w:val="auto"/>
              <w:sz w:val="20"/>
              <w:szCs w:val="20"/>
              <w:lang w:eastAsia="en-US"/>
            </w:rPr>
            <w:fldChar w:fldCharType="end"/>
          </w:r>
        </w:p>
        <w:p w:rsidR="00CC7613" w:rsidRDefault="00CC7613" w:rsidP="00CC7613">
          <w:pPr>
            <w:pStyle w:val="Heading2"/>
            <w:rPr>
              <w:noProof/>
            </w:rPr>
          </w:pPr>
          <w:bookmarkStart w:id="50" w:name="_Toc465427129"/>
          <w:bookmarkStart w:id="51" w:name="_Toc465849252"/>
          <w:bookmarkStart w:id="52" w:name="_Toc465866264"/>
          <w:bookmarkStart w:id="53" w:name="_Toc465939292"/>
          <w:bookmarkStart w:id="54" w:name="_Toc466019046"/>
          <w:bookmarkStart w:id="55" w:name="_Toc466280454"/>
          <w:bookmarkStart w:id="56" w:name="_Toc466280492"/>
          <w:bookmarkStart w:id="57" w:name="_Toc466292199"/>
          <w:bookmarkStart w:id="58" w:name="_Toc466377388"/>
          <w:bookmarkStart w:id="59" w:name="_Toc466448084"/>
          <w:bookmarkStart w:id="60" w:name="_Toc466553247"/>
          <w:bookmarkStart w:id="61" w:name="_Toc466622527"/>
          <w:bookmarkStart w:id="62" w:name="_Toc467069987"/>
          <w:bookmarkStart w:id="63" w:name="_Toc467851682"/>
          <w:bookmarkStart w:id="64" w:name="_Toc468703775"/>
          <w:bookmarkStart w:id="65" w:name="_Toc468712950"/>
          <w:bookmarkStart w:id="66" w:name="_Toc468805153"/>
          <w:bookmarkStart w:id="67" w:name="_Toc468712982"/>
          <w:bookmarkStart w:id="68" w:name="_Toc468713012"/>
          <w:r w:rsidRPr="00324842">
            <w:t>Contents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29"/>
          <w:r>
            <w:rPr>
              <w:b w:val="0"/>
              <w:bCs w:val="0"/>
              <w:sz w:val="24"/>
              <w:szCs w:val="24"/>
            </w:rPr>
            <w:fldChar w:fldCharType="begin"/>
          </w:r>
          <w:r>
            <w:rPr>
              <w:b w:val="0"/>
              <w:bCs w:val="0"/>
              <w:sz w:val="24"/>
              <w:szCs w:val="24"/>
            </w:rPr>
            <w:instrText xml:space="preserve"> TOC \o "1-3" \h \z \u </w:instrText>
          </w:r>
          <w:r>
            <w:rPr>
              <w:b w:val="0"/>
              <w:bCs w:val="0"/>
              <w:sz w:val="24"/>
              <w:szCs w:val="24"/>
            </w:rPr>
            <w:fldChar w:fldCharType="separate"/>
          </w:r>
        </w:p>
        <w:p w:rsidR="00CC7613" w:rsidRDefault="005A71B7" w:rsidP="00CC7613">
          <w:pPr>
            <w:pStyle w:val="TOC2"/>
            <w:tabs>
              <w:tab w:val="clear" w:pos="9639"/>
              <w:tab w:val="right" w:leader="dot" w:pos="9638"/>
            </w:tabs>
            <w:rPr>
              <w:rFonts w:asciiTheme="minorHAnsi" w:eastAsiaTheme="minorEastAsia" w:hAnsiTheme="minorHAnsi" w:cstheme="minorBidi"/>
              <w:noProof/>
              <w:sz w:val="22"/>
              <w:szCs w:val="22"/>
              <w:lang w:eastAsia="en-AU"/>
            </w:rPr>
          </w:pPr>
          <w:hyperlink w:anchor="_Toc468805154" w:history="1">
            <w:r w:rsidR="00CC7613" w:rsidRPr="007B6AD3">
              <w:rPr>
                <w:rStyle w:val="Hyperlink"/>
                <w:noProof/>
              </w:rPr>
              <w:t>1. Introduction</w:t>
            </w:r>
            <w:r w:rsidR="00CC7613">
              <w:rPr>
                <w:noProof/>
                <w:webHidden/>
              </w:rPr>
              <w:tab/>
            </w:r>
            <w:r w:rsidR="00CC7613">
              <w:rPr>
                <w:noProof/>
                <w:webHidden/>
              </w:rPr>
              <w:fldChar w:fldCharType="begin"/>
            </w:r>
            <w:r w:rsidR="00CC7613">
              <w:rPr>
                <w:noProof/>
                <w:webHidden/>
              </w:rPr>
              <w:instrText xml:space="preserve"> PAGEREF _Toc468805154 \h </w:instrText>
            </w:r>
            <w:r w:rsidR="00CC7613">
              <w:rPr>
                <w:noProof/>
                <w:webHidden/>
              </w:rPr>
            </w:r>
            <w:r w:rsidR="00CC7613">
              <w:rPr>
                <w:noProof/>
                <w:webHidden/>
              </w:rPr>
              <w:fldChar w:fldCharType="separate"/>
            </w:r>
            <w:r>
              <w:rPr>
                <w:noProof/>
                <w:webHidden/>
              </w:rPr>
              <w:t>3</w:t>
            </w:r>
            <w:r w:rsidR="00CC7613">
              <w:rPr>
                <w:noProof/>
                <w:webHidden/>
              </w:rPr>
              <w:fldChar w:fldCharType="end"/>
            </w:r>
          </w:hyperlink>
        </w:p>
        <w:p w:rsidR="00CC7613" w:rsidRDefault="005A71B7" w:rsidP="00CC7613">
          <w:pPr>
            <w:pStyle w:val="TOC2"/>
            <w:tabs>
              <w:tab w:val="clear" w:pos="9639"/>
              <w:tab w:val="right" w:leader="dot" w:pos="9638"/>
            </w:tabs>
            <w:rPr>
              <w:rFonts w:asciiTheme="minorHAnsi" w:eastAsiaTheme="minorEastAsia" w:hAnsiTheme="minorHAnsi" w:cstheme="minorBidi"/>
              <w:noProof/>
              <w:sz w:val="22"/>
              <w:szCs w:val="22"/>
              <w:lang w:eastAsia="en-AU"/>
            </w:rPr>
          </w:pPr>
          <w:hyperlink w:anchor="_Toc468805155" w:history="1">
            <w:r w:rsidR="00CC7613" w:rsidRPr="007B6AD3">
              <w:rPr>
                <w:rStyle w:val="Hyperlink"/>
                <w:noProof/>
              </w:rPr>
              <w:t>2. Background</w:t>
            </w:r>
            <w:r w:rsidR="00CC7613">
              <w:rPr>
                <w:noProof/>
                <w:webHidden/>
              </w:rPr>
              <w:tab/>
            </w:r>
            <w:r w:rsidR="00CC7613">
              <w:rPr>
                <w:noProof/>
                <w:webHidden/>
              </w:rPr>
              <w:fldChar w:fldCharType="begin"/>
            </w:r>
            <w:r w:rsidR="00CC7613">
              <w:rPr>
                <w:noProof/>
                <w:webHidden/>
              </w:rPr>
              <w:instrText xml:space="preserve"> PAGEREF _Toc468805155 \h </w:instrText>
            </w:r>
            <w:r w:rsidR="00CC7613">
              <w:rPr>
                <w:noProof/>
                <w:webHidden/>
              </w:rPr>
            </w:r>
            <w:r w:rsidR="00CC7613">
              <w:rPr>
                <w:noProof/>
                <w:webHidden/>
              </w:rPr>
              <w:fldChar w:fldCharType="separate"/>
            </w:r>
            <w:r>
              <w:rPr>
                <w:noProof/>
                <w:webHidden/>
              </w:rPr>
              <w:t>3</w:t>
            </w:r>
            <w:r w:rsidR="00CC7613">
              <w:rPr>
                <w:noProof/>
                <w:webHidden/>
              </w:rPr>
              <w:fldChar w:fldCharType="end"/>
            </w:r>
          </w:hyperlink>
        </w:p>
        <w:p w:rsidR="00CC7613" w:rsidRDefault="005A71B7" w:rsidP="00CC7613">
          <w:pPr>
            <w:pStyle w:val="TOC2"/>
            <w:tabs>
              <w:tab w:val="clear" w:pos="9639"/>
              <w:tab w:val="right" w:leader="dot" w:pos="9638"/>
            </w:tabs>
            <w:rPr>
              <w:rFonts w:asciiTheme="minorHAnsi" w:eastAsiaTheme="minorEastAsia" w:hAnsiTheme="minorHAnsi" w:cstheme="minorBidi"/>
              <w:noProof/>
              <w:sz w:val="22"/>
              <w:szCs w:val="22"/>
              <w:lang w:eastAsia="en-AU"/>
            </w:rPr>
          </w:pPr>
          <w:hyperlink w:anchor="_Toc468805156" w:history="1">
            <w:r w:rsidR="00CC7613" w:rsidRPr="007B6AD3">
              <w:rPr>
                <w:rStyle w:val="Hyperlink"/>
                <w:noProof/>
              </w:rPr>
              <w:t>3. Overview of TAAP services</w:t>
            </w:r>
            <w:r w:rsidR="00CC7613">
              <w:rPr>
                <w:noProof/>
                <w:webHidden/>
              </w:rPr>
              <w:tab/>
            </w:r>
            <w:r w:rsidR="00CC7613">
              <w:rPr>
                <w:noProof/>
                <w:webHidden/>
              </w:rPr>
              <w:fldChar w:fldCharType="begin"/>
            </w:r>
            <w:r w:rsidR="00CC7613">
              <w:rPr>
                <w:noProof/>
                <w:webHidden/>
              </w:rPr>
              <w:instrText xml:space="preserve"> PAGEREF _Toc468805156 \h </w:instrText>
            </w:r>
            <w:r w:rsidR="00CC7613">
              <w:rPr>
                <w:noProof/>
                <w:webHidden/>
              </w:rPr>
            </w:r>
            <w:r w:rsidR="00CC7613">
              <w:rPr>
                <w:noProof/>
                <w:webHidden/>
              </w:rPr>
              <w:fldChar w:fldCharType="separate"/>
            </w:r>
            <w:r>
              <w:rPr>
                <w:noProof/>
                <w:webHidden/>
              </w:rPr>
              <w:t>4</w:t>
            </w:r>
            <w:r w:rsidR="00CC7613">
              <w:rPr>
                <w:noProof/>
                <w:webHidden/>
              </w:rPr>
              <w:fldChar w:fldCharType="end"/>
            </w:r>
          </w:hyperlink>
        </w:p>
        <w:p w:rsidR="00CC7613" w:rsidRDefault="005A71B7" w:rsidP="00CC7613">
          <w:pPr>
            <w:pStyle w:val="TOC3"/>
            <w:tabs>
              <w:tab w:val="clear" w:pos="9639"/>
              <w:tab w:val="right" w:leader="dot" w:pos="9638"/>
            </w:tabs>
            <w:rPr>
              <w:rFonts w:asciiTheme="minorHAnsi" w:eastAsiaTheme="minorEastAsia" w:hAnsiTheme="minorHAnsi" w:cstheme="minorBidi"/>
              <w:noProof/>
              <w:sz w:val="22"/>
              <w:szCs w:val="22"/>
              <w:lang w:eastAsia="en-AU"/>
            </w:rPr>
          </w:pPr>
          <w:hyperlink w:anchor="_Toc468805157" w:history="1">
            <w:r w:rsidR="00CC7613" w:rsidRPr="007B6AD3">
              <w:rPr>
                <w:rStyle w:val="Hyperlink"/>
                <w:noProof/>
              </w:rPr>
              <w:t>3.1 Service objectives</w:t>
            </w:r>
            <w:r w:rsidR="00CC7613">
              <w:rPr>
                <w:noProof/>
                <w:webHidden/>
              </w:rPr>
              <w:tab/>
            </w:r>
            <w:r w:rsidR="00CC7613">
              <w:rPr>
                <w:noProof/>
                <w:webHidden/>
              </w:rPr>
              <w:fldChar w:fldCharType="begin"/>
            </w:r>
            <w:r w:rsidR="00CC7613">
              <w:rPr>
                <w:noProof/>
                <w:webHidden/>
              </w:rPr>
              <w:instrText xml:space="preserve"> PAGEREF _Toc468805157 \h </w:instrText>
            </w:r>
            <w:r w:rsidR="00CC7613">
              <w:rPr>
                <w:noProof/>
                <w:webHidden/>
              </w:rPr>
            </w:r>
            <w:r w:rsidR="00CC7613">
              <w:rPr>
                <w:noProof/>
                <w:webHidden/>
              </w:rPr>
              <w:fldChar w:fldCharType="separate"/>
            </w:r>
            <w:r>
              <w:rPr>
                <w:noProof/>
                <w:webHidden/>
              </w:rPr>
              <w:t>4</w:t>
            </w:r>
            <w:r w:rsidR="00CC7613">
              <w:rPr>
                <w:noProof/>
                <w:webHidden/>
              </w:rPr>
              <w:fldChar w:fldCharType="end"/>
            </w:r>
          </w:hyperlink>
        </w:p>
        <w:p w:rsidR="00CC7613" w:rsidRDefault="005A71B7" w:rsidP="00CC7613">
          <w:pPr>
            <w:pStyle w:val="TOC3"/>
            <w:tabs>
              <w:tab w:val="clear" w:pos="9639"/>
              <w:tab w:val="right" w:leader="dot" w:pos="9638"/>
            </w:tabs>
            <w:rPr>
              <w:rFonts w:asciiTheme="minorHAnsi" w:eastAsiaTheme="minorEastAsia" w:hAnsiTheme="minorHAnsi" w:cstheme="minorBidi"/>
              <w:noProof/>
              <w:sz w:val="22"/>
              <w:szCs w:val="22"/>
              <w:lang w:eastAsia="en-AU"/>
            </w:rPr>
          </w:pPr>
          <w:hyperlink w:anchor="_Toc468805158" w:history="1">
            <w:r w:rsidR="00CC7613" w:rsidRPr="007B6AD3">
              <w:rPr>
                <w:rStyle w:val="Hyperlink"/>
                <w:noProof/>
              </w:rPr>
              <w:t>3.2 The role of the TAAP worker</w:t>
            </w:r>
            <w:r w:rsidR="00CC7613">
              <w:rPr>
                <w:noProof/>
                <w:webHidden/>
              </w:rPr>
              <w:tab/>
            </w:r>
            <w:r w:rsidR="00CC7613">
              <w:rPr>
                <w:noProof/>
                <w:webHidden/>
              </w:rPr>
              <w:fldChar w:fldCharType="begin"/>
            </w:r>
            <w:r w:rsidR="00CC7613">
              <w:rPr>
                <w:noProof/>
                <w:webHidden/>
              </w:rPr>
              <w:instrText xml:space="preserve"> PAGEREF _Toc468805158 \h </w:instrText>
            </w:r>
            <w:r w:rsidR="00CC7613">
              <w:rPr>
                <w:noProof/>
                <w:webHidden/>
              </w:rPr>
            </w:r>
            <w:r w:rsidR="00CC7613">
              <w:rPr>
                <w:noProof/>
                <w:webHidden/>
              </w:rPr>
              <w:fldChar w:fldCharType="separate"/>
            </w:r>
            <w:r>
              <w:rPr>
                <w:noProof/>
                <w:webHidden/>
              </w:rPr>
              <w:t>4</w:t>
            </w:r>
            <w:r w:rsidR="00CC7613">
              <w:rPr>
                <w:noProof/>
                <w:webHidden/>
              </w:rPr>
              <w:fldChar w:fldCharType="end"/>
            </w:r>
          </w:hyperlink>
        </w:p>
        <w:p w:rsidR="00CC7613" w:rsidRDefault="005A71B7" w:rsidP="00CC7613">
          <w:pPr>
            <w:pStyle w:val="TOC3"/>
            <w:tabs>
              <w:tab w:val="clear" w:pos="9639"/>
              <w:tab w:val="right" w:leader="dot" w:pos="9638"/>
            </w:tabs>
            <w:rPr>
              <w:rFonts w:asciiTheme="minorHAnsi" w:eastAsiaTheme="minorEastAsia" w:hAnsiTheme="minorHAnsi" w:cstheme="minorBidi"/>
              <w:noProof/>
              <w:sz w:val="22"/>
              <w:szCs w:val="22"/>
              <w:lang w:eastAsia="en-AU"/>
            </w:rPr>
          </w:pPr>
          <w:hyperlink w:anchor="_Toc468805159" w:history="1">
            <w:r w:rsidR="00CC7613" w:rsidRPr="007B6AD3">
              <w:rPr>
                <w:rStyle w:val="Hyperlink"/>
                <w:noProof/>
              </w:rPr>
              <w:t>3.3 Service types</w:t>
            </w:r>
            <w:r w:rsidR="00CC7613">
              <w:rPr>
                <w:noProof/>
                <w:webHidden/>
              </w:rPr>
              <w:tab/>
            </w:r>
            <w:r w:rsidR="00CC7613">
              <w:rPr>
                <w:noProof/>
                <w:webHidden/>
              </w:rPr>
              <w:fldChar w:fldCharType="begin"/>
            </w:r>
            <w:r w:rsidR="00CC7613">
              <w:rPr>
                <w:noProof/>
                <w:webHidden/>
              </w:rPr>
              <w:instrText xml:space="preserve"> PAGEREF _Toc468805159 \h </w:instrText>
            </w:r>
            <w:r w:rsidR="00CC7613">
              <w:rPr>
                <w:noProof/>
                <w:webHidden/>
              </w:rPr>
            </w:r>
            <w:r w:rsidR="00CC7613">
              <w:rPr>
                <w:noProof/>
                <w:webHidden/>
              </w:rPr>
              <w:fldChar w:fldCharType="separate"/>
            </w:r>
            <w:r>
              <w:rPr>
                <w:noProof/>
                <w:webHidden/>
              </w:rPr>
              <w:t>5</w:t>
            </w:r>
            <w:r w:rsidR="00CC7613">
              <w:rPr>
                <w:noProof/>
                <w:webHidden/>
              </w:rPr>
              <w:fldChar w:fldCharType="end"/>
            </w:r>
          </w:hyperlink>
        </w:p>
        <w:p w:rsidR="00CC7613" w:rsidRDefault="005A71B7" w:rsidP="00CC7613">
          <w:pPr>
            <w:pStyle w:val="TOC2"/>
            <w:tabs>
              <w:tab w:val="clear" w:pos="9639"/>
              <w:tab w:val="right" w:leader="dot" w:pos="9638"/>
            </w:tabs>
            <w:rPr>
              <w:rFonts w:asciiTheme="minorHAnsi" w:eastAsiaTheme="minorEastAsia" w:hAnsiTheme="minorHAnsi" w:cstheme="minorBidi"/>
              <w:noProof/>
              <w:sz w:val="22"/>
              <w:szCs w:val="22"/>
              <w:lang w:eastAsia="en-AU"/>
            </w:rPr>
          </w:pPr>
          <w:hyperlink w:anchor="_Toc468805160" w:history="1">
            <w:r w:rsidR="00CC7613" w:rsidRPr="007B6AD3">
              <w:rPr>
                <w:rStyle w:val="Hyperlink"/>
                <w:noProof/>
              </w:rPr>
              <w:t>4. TAAP Service Delivery Model</w:t>
            </w:r>
            <w:r w:rsidR="00CC7613">
              <w:rPr>
                <w:noProof/>
                <w:webHidden/>
              </w:rPr>
              <w:tab/>
            </w:r>
            <w:r w:rsidR="00CC7613">
              <w:rPr>
                <w:noProof/>
                <w:webHidden/>
              </w:rPr>
              <w:fldChar w:fldCharType="begin"/>
            </w:r>
            <w:r w:rsidR="00CC7613">
              <w:rPr>
                <w:noProof/>
                <w:webHidden/>
              </w:rPr>
              <w:instrText xml:space="preserve"> PAGEREF _Toc468805160 \h </w:instrText>
            </w:r>
            <w:r w:rsidR="00CC7613">
              <w:rPr>
                <w:noProof/>
                <w:webHidden/>
              </w:rPr>
            </w:r>
            <w:r w:rsidR="00CC7613">
              <w:rPr>
                <w:noProof/>
                <w:webHidden/>
              </w:rPr>
              <w:fldChar w:fldCharType="separate"/>
            </w:r>
            <w:r>
              <w:rPr>
                <w:noProof/>
                <w:webHidden/>
              </w:rPr>
              <w:t>5</w:t>
            </w:r>
            <w:r w:rsidR="00CC7613">
              <w:rPr>
                <w:noProof/>
                <w:webHidden/>
              </w:rPr>
              <w:fldChar w:fldCharType="end"/>
            </w:r>
          </w:hyperlink>
        </w:p>
        <w:p w:rsidR="00CC7613" w:rsidRDefault="005A71B7" w:rsidP="00CC7613">
          <w:pPr>
            <w:pStyle w:val="TOC3"/>
            <w:tabs>
              <w:tab w:val="clear" w:pos="9639"/>
              <w:tab w:val="right" w:leader="dot" w:pos="9638"/>
            </w:tabs>
            <w:rPr>
              <w:rFonts w:asciiTheme="minorHAnsi" w:eastAsiaTheme="minorEastAsia" w:hAnsiTheme="minorHAnsi" w:cstheme="minorBidi"/>
              <w:noProof/>
              <w:sz w:val="22"/>
              <w:szCs w:val="22"/>
              <w:lang w:eastAsia="en-AU"/>
            </w:rPr>
          </w:pPr>
          <w:hyperlink w:anchor="_Toc468805161" w:history="1">
            <w:r w:rsidR="00CC7613" w:rsidRPr="007B6AD3">
              <w:rPr>
                <w:rStyle w:val="Hyperlink"/>
                <w:noProof/>
              </w:rPr>
              <w:t>4.1 Service eligibility and prioritisation</w:t>
            </w:r>
            <w:r w:rsidR="00CC7613">
              <w:rPr>
                <w:noProof/>
                <w:webHidden/>
              </w:rPr>
              <w:tab/>
            </w:r>
            <w:r w:rsidR="00CC7613">
              <w:rPr>
                <w:noProof/>
                <w:webHidden/>
              </w:rPr>
              <w:fldChar w:fldCharType="begin"/>
            </w:r>
            <w:r w:rsidR="00CC7613">
              <w:rPr>
                <w:noProof/>
                <w:webHidden/>
              </w:rPr>
              <w:instrText xml:space="preserve"> PAGEREF _Toc468805161 \h </w:instrText>
            </w:r>
            <w:r w:rsidR="00CC7613">
              <w:rPr>
                <w:noProof/>
                <w:webHidden/>
              </w:rPr>
            </w:r>
            <w:r w:rsidR="00CC7613">
              <w:rPr>
                <w:noProof/>
                <w:webHidden/>
              </w:rPr>
              <w:fldChar w:fldCharType="separate"/>
            </w:r>
            <w:r>
              <w:rPr>
                <w:noProof/>
                <w:webHidden/>
              </w:rPr>
              <w:t>5</w:t>
            </w:r>
            <w:r w:rsidR="00CC7613">
              <w:rPr>
                <w:noProof/>
                <w:webHidden/>
              </w:rPr>
              <w:fldChar w:fldCharType="end"/>
            </w:r>
          </w:hyperlink>
        </w:p>
        <w:p w:rsidR="00CC7613" w:rsidRDefault="005A71B7" w:rsidP="00CC7613">
          <w:pPr>
            <w:pStyle w:val="TOC3"/>
            <w:tabs>
              <w:tab w:val="clear" w:pos="9639"/>
              <w:tab w:val="right" w:leader="dot" w:pos="9638"/>
            </w:tabs>
            <w:rPr>
              <w:rFonts w:asciiTheme="minorHAnsi" w:eastAsiaTheme="minorEastAsia" w:hAnsiTheme="minorHAnsi" w:cstheme="minorBidi"/>
              <w:noProof/>
              <w:sz w:val="22"/>
              <w:szCs w:val="22"/>
              <w:lang w:eastAsia="en-AU"/>
            </w:rPr>
          </w:pPr>
          <w:hyperlink w:anchor="_Toc468805162" w:history="1">
            <w:r w:rsidR="00CC7613" w:rsidRPr="007B6AD3">
              <w:rPr>
                <w:rStyle w:val="Hyperlink"/>
                <w:noProof/>
              </w:rPr>
              <w:t>4.2 Service coverage</w:t>
            </w:r>
            <w:r w:rsidR="00CC7613">
              <w:rPr>
                <w:noProof/>
                <w:webHidden/>
              </w:rPr>
              <w:tab/>
            </w:r>
            <w:r w:rsidR="00CC7613">
              <w:rPr>
                <w:noProof/>
                <w:webHidden/>
              </w:rPr>
              <w:fldChar w:fldCharType="begin"/>
            </w:r>
            <w:r w:rsidR="00CC7613">
              <w:rPr>
                <w:noProof/>
                <w:webHidden/>
              </w:rPr>
              <w:instrText xml:space="preserve"> PAGEREF _Toc468805162 \h </w:instrText>
            </w:r>
            <w:r w:rsidR="00CC7613">
              <w:rPr>
                <w:noProof/>
                <w:webHidden/>
              </w:rPr>
            </w:r>
            <w:r w:rsidR="00CC7613">
              <w:rPr>
                <w:noProof/>
                <w:webHidden/>
              </w:rPr>
              <w:fldChar w:fldCharType="separate"/>
            </w:r>
            <w:r>
              <w:rPr>
                <w:noProof/>
                <w:webHidden/>
              </w:rPr>
              <w:t>6</w:t>
            </w:r>
            <w:r w:rsidR="00CC7613">
              <w:rPr>
                <w:noProof/>
                <w:webHidden/>
              </w:rPr>
              <w:fldChar w:fldCharType="end"/>
            </w:r>
          </w:hyperlink>
        </w:p>
        <w:p w:rsidR="00CC7613" w:rsidRDefault="005A71B7" w:rsidP="00CC7613">
          <w:pPr>
            <w:pStyle w:val="TOC2"/>
            <w:tabs>
              <w:tab w:val="clear" w:pos="9639"/>
              <w:tab w:val="right" w:leader="dot" w:pos="9638"/>
            </w:tabs>
            <w:rPr>
              <w:rFonts w:asciiTheme="minorHAnsi" w:eastAsiaTheme="minorEastAsia" w:hAnsiTheme="minorHAnsi" w:cstheme="minorBidi"/>
              <w:noProof/>
              <w:sz w:val="22"/>
              <w:szCs w:val="22"/>
              <w:lang w:eastAsia="en-AU"/>
            </w:rPr>
          </w:pPr>
          <w:hyperlink w:anchor="_Toc468805163" w:history="1">
            <w:r w:rsidR="00CC7613" w:rsidRPr="007B6AD3">
              <w:rPr>
                <w:rStyle w:val="Hyperlink"/>
                <w:noProof/>
              </w:rPr>
              <w:t>5. Funding</w:t>
            </w:r>
            <w:r w:rsidR="00CC7613">
              <w:rPr>
                <w:noProof/>
                <w:webHidden/>
              </w:rPr>
              <w:tab/>
            </w:r>
            <w:r w:rsidR="00CC7613">
              <w:rPr>
                <w:noProof/>
                <w:webHidden/>
              </w:rPr>
              <w:fldChar w:fldCharType="begin"/>
            </w:r>
            <w:r w:rsidR="00CC7613">
              <w:rPr>
                <w:noProof/>
                <w:webHidden/>
              </w:rPr>
              <w:instrText xml:space="preserve"> PAGEREF _Toc468805163 \h </w:instrText>
            </w:r>
            <w:r w:rsidR="00CC7613">
              <w:rPr>
                <w:noProof/>
                <w:webHidden/>
              </w:rPr>
            </w:r>
            <w:r w:rsidR="00CC7613">
              <w:rPr>
                <w:noProof/>
                <w:webHidden/>
              </w:rPr>
              <w:fldChar w:fldCharType="separate"/>
            </w:r>
            <w:r>
              <w:rPr>
                <w:noProof/>
                <w:webHidden/>
              </w:rPr>
              <w:t>6</w:t>
            </w:r>
            <w:r w:rsidR="00CC7613">
              <w:rPr>
                <w:noProof/>
                <w:webHidden/>
              </w:rPr>
              <w:fldChar w:fldCharType="end"/>
            </w:r>
          </w:hyperlink>
        </w:p>
        <w:p w:rsidR="00CC7613" w:rsidRDefault="005A71B7" w:rsidP="00CC7613">
          <w:pPr>
            <w:pStyle w:val="TOC3"/>
            <w:tabs>
              <w:tab w:val="clear" w:pos="9639"/>
              <w:tab w:val="right" w:leader="dot" w:pos="9638"/>
            </w:tabs>
            <w:rPr>
              <w:rFonts w:asciiTheme="minorHAnsi" w:eastAsiaTheme="minorEastAsia" w:hAnsiTheme="minorHAnsi" w:cstheme="minorBidi"/>
              <w:noProof/>
              <w:sz w:val="22"/>
              <w:szCs w:val="22"/>
              <w:lang w:eastAsia="en-AU"/>
            </w:rPr>
          </w:pPr>
          <w:hyperlink w:anchor="_Toc468805164" w:history="1">
            <w:r w:rsidR="00CC7613" w:rsidRPr="007B6AD3">
              <w:rPr>
                <w:rStyle w:val="Hyperlink"/>
                <w:noProof/>
              </w:rPr>
              <w:t>5.1 Funding distribution</w:t>
            </w:r>
            <w:r w:rsidR="00CC7613">
              <w:rPr>
                <w:noProof/>
                <w:webHidden/>
              </w:rPr>
              <w:tab/>
            </w:r>
            <w:r w:rsidR="00CC7613">
              <w:rPr>
                <w:noProof/>
                <w:webHidden/>
              </w:rPr>
              <w:fldChar w:fldCharType="begin"/>
            </w:r>
            <w:r w:rsidR="00CC7613">
              <w:rPr>
                <w:noProof/>
                <w:webHidden/>
              </w:rPr>
              <w:instrText xml:space="preserve"> PAGEREF _Toc468805164 \h </w:instrText>
            </w:r>
            <w:r w:rsidR="00CC7613">
              <w:rPr>
                <w:noProof/>
                <w:webHidden/>
              </w:rPr>
            </w:r>
            <w:r w:rsidR="00CC7613">
              <w:rPr>
                <w:noProof/>
                <w:webHidden/>
              </w:rPr>
              <w:fldChar w:fldCharType="separate"/>
            </w:r>
            <w:r>
              <w:rPr>
                <w:noProof/>
                <w:webHidden/>
              </w:rPr>
              <w:t>6</w:t>
            </w:r>
            <w:r w:rsidR="00CC7613">
              <w:rPr>
                <w:noProof/>
                <w:webHidden/>
              </w:rPr>
              <w:fldChar w:fldCharType="end"/>
            </w:r>
          </w:hyperlink>
        </w:p>
        <w:p w:rsidR="00CC7613" w:rsidRDefault="005A71B7" w:rsidP="00CC7613">
          <w:pPr>
            <w:pStyle w:val="TOC3"/>
            <w:tabs>
              <w:tab w:val="clear" w:pos="9639"/>
              <w:tab w:val="right" w:leader="dot" w:pos="9638"/>
            </w:tabs>
            <w:rPr>
              <w:rFonts w:asciiTheme="minorHAnsi" w:eastAsiaTheme="minorEastAsia" w:hAnsiTheme="minorHAnsi" w:cstheme="minorBidi"/>
              <w:noProof/>
              <w:sz w:val="22"/>
              <w:szCs w:val="22"/>
              <w:lang w:eastAsia="en-AU"/>
            </w:rPr>
          </w:pPr>
          <w:hyperlink w:anchor="_Toc468805165" w:history="1">
            <w:r w:rsidR="00CC7613" w:rsidRPr="007B6AD3">
              <w:rPr>
                <w:rStyle w:val="Hyperlink"/>
                <w:noProof/>
              </w:rPr>
              <w:t>5.2 Funding model</w:t>
            </w:r>
            <w:r w:rsidR="00CC7613">
              <w:rPr>
                <w:noProof/>
                <w:webHidden/>
              </w:rPr>
              <w:tab/>
            </w:r>
            <w:r w:rsidR="00CC7613">
              <w:rPr>
                <w:noProof/>
                <w:webHidden/>
              </w:rPr>
              <w:fldChar w:fldCharType="begin"/>
            </w:r>
            <w:r w:rsidR="00CC7613">
              <w:rPr>
                <w:noProof/>
                <w:webHidden/>
              </w:rPr>
              <w:instrText xml:space="preserve"> PAGEREF _Toc468805165 \h </w:instrText>
            </w:r>
            <w:r w:rsidR="00CC7613">
              <w:rPr>
                <w:noProof/>
                <w:webHidden/>
              </w:rPr>
            </w:r>
            <w:r w:rsidR="00CC7613">
              <w:rPr>
                <w:noProof/>
                <w:webHidden/>
              </w:rPr>
              <w:fldChar w:fldCharType="separate"/>
            </w:r>
            <w:r>
              <w:rPr>
                <w:noProof/>
                <w:webHidden/>
              </w:rPr>
              <w:t>6</w:t>
            </w:r>
            <w:r w:rsidR="00CC7613">
              <w:rPr>
                <w:noProof/>
                <w:webHidden/>
              </w:rPr>
              <w:fldChar w:fldCharType="end"/>
            </w:r>
          </w:hyperlink>
        </w:p>
        <w:p w:rsidR="00CC7613" w:rsidRDefault="005A71B7" w:rsidP="00CC7613">
          <w:pPr>
            <w:pStyle w:val="TOC3"/>
            <w:tabs>
              <w:tab w:val="clear" w:pos="9639"/>
              <w:tab w:val="right" w:leader="dot" w:pos="9638"/>
            </w:tabs>
            <w:rPr>
              <w:rFonts w:asciiTheme="minorHAnsi" w:eastAsiaTheme="minorEastAsia" w:hAnsiTheme="minorHAnsi" w:cstheme="minorBidi"/>
              <w:noProof/>
              <w:sz w:val="22"/>
              <w:szCs w:val="22"/>
              <w:lang w:eastAsia="en-AU"/>
            </w:rPr>
          </w:pPr>
          <w:hyperlink w:anchor="_Toc468805166" w:history="1">
            <w:r w:rsidR="00CC7613" w:rsidRPr="007B6AD3">
              <w:rPr>
                <w:rStyle w:val="Hyperlink"/>
                <w:noProof/>
              </w:rPr>
              <w:t>5.3 Travel</w:t>
            </w:r>
            <w:r w:rsidR="00CC7613">
              <w:rPr>
                <w:noProof/>
                <w:webHidden/>
              </w:rPr>
              <w:tab/>
            </w:r>
            <w:r w:rsidR="00CC7613">
              <w:rPr>
                <w:noProof/>
                <w:webHidden/>
              </w:rPr>
              <w:fldChar w:fldCharType="begin"/>
            </w:r>
            <w:r w:rsidR="00CC7613">
              <w:rPr>
                <w:noProof/>
                <w:webHidden/>
              </w:rPr>
              <w:instrText xml:space="preserve"> PAGEREF _Toc468805166 \h </w:instrText>
            </w:r>
            <w:r w:rsidR="00CC7613">
              <w:rPr>
                <w:noProof/>
                <w:webHidden/>
              </w:rPr>
            </w:r>
            <w:r w:rsidR="00CC7613">
              <w:rPr>
                <w:noProof/>
                <w:webHidden/>
              </w:rPr>
              <w:fldChar w:fldCharType="separate"/>
            </w:r>
            <w:r>
              <w:rPr>
                <w:noProof/>
                <w:webHidden/>
              </w:rPr>
              <w:t>7</w:t>
            </w:r>
            <w:r w:rsidR="00CC7613">
              <w:rPr>
                <w:noProof/>
                <w:webHidden/>
              </w:rPr>
              <w:fldChar w:fldCharType="end"/>
            </w:r>
          </w:hyperlink>
        </w:p>
        <w:p w:rsidR="00CC7613" w:rsidRDefault="005A71B7" w:rsidP="00CC7613">
          <w:pPr>
            <w:pStyle w:val="TOC3"/>
            <w:tabs>
              <w:tab w:val="clear" w:pos="9639"/>
              <w:tab w:val="right" w:leader="dot" w:pos="9638"/>
            </w:tabs>
            <w:rPr>
              <w:rFonts w:asciiTheme="minorHAnsi" w:eastAsiaTheme="minorEastAsia" w:hAnsiTheme="minorHAnsi" w:cstheme="minorBidi"/>
              <w:noProof/>
              <w:sz w:val="22"/>
              <w:szCs w:val="22"/>
              <w:lang w:eastAsia="en-AU"/>
            </w:rPr>
          </w:pPr>
          <w:hyperlink w:anchor="_Toc468805167" w:history="1">
            <w:r w:rsidR="00CC7613" w:rsidRPr="007B6AD3">
              <w:rPr>
                <w:rStyle w:val="Hyperlink"/>
                <w:noProof/>
              </w:rPr>
              <w:t>5.4 Interpreting services</w:t>
            </w:r>
            <w:r w:rsidR="00CC7613">
              <w:rPr>
                <w:noProof/>
                <w:webHidden/>
              </w:rPr>
              <w:tab/>
            </w:r>
            <w:r w:rsidR="00CC7613">
              <w:rPr>
                <w:noProof/>
                <w:webHidden/>
              </w:rPr>
              <w:fldChar w:fldCharType="begin"/>
            </w:r>
            <w:r w:rsidR="00CC7613">
              <w:rPr>
                <w:noProof/>
                <w:webHidden/>
              </w:rPr>
              <w:instrText xml:space="preserve"> PAGEREF _Toc468805167 \h </w:instrText>
            </w:r>
            <w:r w:rsidR="00CC7613">
              <w:rPr>
                <w:noProof/>
                <w:webHidden/>
              </w:rPr>
            </w:r>
            <w:r w:rsidR="00CC7613">
              <w:rPr>
                <w:noProof/>
                <w:webHidden/>
              </w:rPr>
              <w:fldChar w:fldCharType="separate"/>
            </w:r>
            <w:r>
              <w:rPr>
                <w:noProof/>
                <w:webHidden/>
              </w:rPr>
              <w:t>8</w:t>
            </w:r>
            <w:r w:rsidR="00CC7613">
              <w:rPr>
                <w:noProof/>
                <w:webHidden/>
              </w:rPr>
              <w:fldChar w:fldCharType="end"/>
            </w:r>
          </w:hyperlink>
        </w:p>
        <w:p w:rsidR="00CC7613" w:rsidRDefault="005A71B7" w:rsidP="00CC7613">
          <w:pPr>
            <w:pStyle w:val="TOC2"/>
            <w:tabs>
              <w:tab w:val="clear" w:pos="9639"/>
              <w:tab w:val="right" w:leader="dot" w:pos="9638"/>
            </w:tabs>
            <w:rPr>
              <w:rFonts w:asciiTheme="minorHAnsi" w:eastAsiaTheme="minorEastAsia" w:hAnsiTheme="minorHAnsi" w:cstheme="minorBidi"/>
              <w:noProof/>
              <w:sz w:val="22"/>
              <w:szCs w:val="22"/>
              <w:lang w:eastAsia="en-AU"/>
            </w:rPr>
          </w:pPr>
          <w:hyperlink w:anchor="_Toc468805168" w:history="1">
            <w:r w:rsidR="00CC7613" w:rsidRPr="007B6AD3">
              <w:rPr>
                <w:rStyle w:val="Hyperlink"/>
                <w:noProof/>
              </w:rPr>
              <w:t>6. Performance monitoring framework</w:t>
            </w:r>
            <w:r w:rsidR="00CC7613">
              <w:rPr>
                <w:noProof/>
                <w:webHidden/>
              </w:rPr>
              <w:tab/>
            </w:r>
            <w:r w:rsidR="00CC7613">
              <w:rPr>
                <w:noProof/>
                <w:webHidden/>
              </w:rPr>
              <w:fldChar w:fldCharType="begin"/>
            </w:r>
            <w:r w:rsidR="00CC7613">
              <w:rPr>
                <w:noProof/>
                <w:webHidden/>
              </w:rPr>
              <w:instrText xml:space="preserve"> PAGEREF _Toc468805168 \h </w:instrText>
            </w:r>
            <w:r w:rsidR="00CC7613">
              <w:rPr>
                <w:noProof/>
                <w:webHidden/>
              </w:rPr>
            </w:r>
            <w:r w:rsidR="00CC7613">
              <w:rPr>
                <w:noProof/>
                <w:webHidden/>
              </w:rPr>
              <w:fldChar w:fldCharType="separate"/>
            </w:r>
            <w:r>
              <w:rPr>
                <w:noProof/>
                <w:webHidden/>
              </w:rPr>
              <w:t>8</w:t>
            </w:r>
            <w:r w:rsidR="00CC7613">
              <w:rPr>
                <w:noProof/>
                <w:webHidden/>
              </w:rPr>
              <w:fldChar w:fldCharType="end"/>
            </w:r>
          </w:hyperlink>
        </w:p>
        <w:p w:rsidR="00CC7613" w:rsidRDefault="005A71B7" w:rsidP="00CC7613">
          <w:pPr>
            <w:pStyle w:val="TOC3"/>
            <w:tabs>
              <w:tab w:val="clear" w:pos="9639"/>
              <w:tab w:val="right" w:leader="dot" w:pos="9638"/>
            </w:tabs>
            <w:rPr>
              <w:rFonts w:asciiTheme="minorHAnsi" w:eastAsiaTheme="minorEastAsia" w:hAnsiTheme="minorHAnsi" w:cstheme="minorBidi"/>
              <w:noProof/>
              <w:sz w:val="22"/>
              <w:szCs w:val="22"/>
              <w:lang w:eastAsia="en-AU"/>
            </w:rPr>
          </w:pPr>
          <w:hyperlink w:anchor="_Toc468805169" w:history="1">
            <w:r w:rsidR="00CC7613" w:rsidRPr="007B6AD3">
              <w:rPr>
                <w:rStyle w:val="Hyperlink"/>
                <w:noProof/>
              </w:rPr>
              <w:t>6.1 Funding agreement</w:t>
            </w:r>
            <w:r w:rsidR="00CC7613">
              <w:rPr>
                <w:noProof/>
                <w:webHidden/>
              </w:rPr>
              <w:tab/>
            </w:r>
            <w:r w:rsidR="00CC7613">
              <w:rPr>
                <w:noProof/>
                <w:webHidden/>
              </w:rPr>
              <w:fldChar w:fldCharType="begin"/>
            </w:r>
            <w:r w:rsidR="00CC7613">
              <w:rPr>
                <w:noProof/>
                <w:webHidden/>
              </w:rPr>
              <w:instrText xml:space="preserve"> PAGEREF _Toc468805169 \h </w:instrText>
            </w:r>
            <w:r w:rsidR="00CC7613">
              <w:rPr>
                <w:noProof/>
                <w:webHidden/>
              </w:rPr>
            </w:r>
            <w:r w:rsidR="00CC7613">
              <w:rPr>
                <w:noProof/>
                <w:webHidden/>
              </w:rPr>
              <w:fldChar w:fldCharType="separate"/>
            </w:r>
            <w:r>
              <w:rPr>
                <w:noProof/>
                <w:webHidden/>
              </w:rPr>
              <w:t>9</w:t>
            </w:r>
            <w:r w:rsidR="00CC7613">
              <w:rPr>
                <w:noProof/>
                <w:webHidden/>
              </w:rPr>
              <w:fldChar w:fldCharType="end"/>
            </w:r>
          </w:hyperlink>
        </w:p>
        <w:p w:rsidR="00CC7613" w:rsidRDefault="005A71B7" w:rsidP="00CC7613">
          <w:pPr>
            <w:pStyle w:val="TOC3"/>
            <w:tabs>
              <w:tab w:val="clear" w:pos="9639"/>
              <w:tab w:val="right" w:leader="dot" w:pos="9638"/>
            </w:tabs>
            <w:rPr>
              <w:rFonts w:asciiTheme="minorHAnsi" w:eastAsiaTheme="minorEastAsia" w:hAnsiTheme="minorHAnsi" w:cstheme="minorBidi"/>
              <w:noProof/>
              <w:sz w:val="22"/>
              <w:szCs w:val="22"/>
              <w:lang w:eastAsia="en-AU"/>
            </w:rPr>
          </w:pPr>
          <w:hyperlink w:anchor="_Toc468805170" w:history="1">
            <w:r w:rsidR="00CC7613" w:rsidRPr="007B6AD3">
              <w:rPr>
                <w:rStyle w:val="Hyperlink"/>
                <w:noProof/>
              </w:rPr>
              <w:t>6.2 Payments</w:t>
            </w:r>
            <w:r w:rsidR="00CC7613">
              <w:rPr>
                <w:noProof/>
                <w:webHidden/>
              </w:rPr>
              <w:tab/>
            </w:r>
            <w:r w:rsidR="00CC7613">
              <w:rPr>
                <w:noProof/>
                <w:webHidden/>
              </w:rPr>
              <w:fldChar w:fldCharType="begin"/>
            </w:r>
            <w:r w:rsidR="00CC7613">
              <w:rPr>
                <w:noProof/>
                <w:webHidden/>
              </w:rPr>
              <w:instrText xml:space="preserve"> PAGEREF _Toc468805170 \h </w:instrText>
            </w:r>
            <w:r w:rsidR="00CC7613">
              <w:rPr>
                <w:noProof/>
                <w:webHidden/>
              </w:rPr>
            </w:r>
            <w:r w:rsidR="00CC7613">
              <w:rPr>
                <w:noProof/>
                <w:webHidden/>
              </w:rPr>
              <w:fldChar w:fldCharType="separate"/>
            </w:r>
            <w:r>
              <w:rPr>
                <w:noProof/>
                <w:webHidden/>
              </w:rPr>
              <w:t>9</w:t>
            </w:r>
            <w:r w:rsidR="00CC7613">
              <w:rPr>
                <w:noProof/>
                <w:webHidden/>
              </w:rPr>
              <w:fldChar w:fldCharType="end"/>
            </w:r>
          </w:hyperlink>
        </w:p>
        <w:p w:rsidR="00CC7613" w:rsidRDefault="005A71B7" w:rsidP="00CC7613">
          <w:pPr>
            <w:pStyle w:val="TOC2"/>
            <w:tabs>
              <w:tab w:val="clear" w:pos="9639"/>
              <w:tab w:val="right" w:leader="dot" w:pos="9638"/>
            </w:tabs>
            <w:rPr>
              <w:rFonts w:asciiTheme="minorHAnsi" w:eastAsiaTheme="minorEastAsia" w:hAnsiTheme="minorHAnsi" w:cstheme="minorBidi"/>
              <w:noProof/>
              <w:sz w:val="22"/>
              <w:szCs w:val="22"/>
              <w:lang w:eastAsia="en-AU"/>
            </w:rPr>
          </w:pPr>
          <w:hyperlink w:anchor="_Toc468805171" w:history="1">
            <w:r w:rsidR="00CC7613" w:rsidRPr="007B6AD3">
              <w:rPr>
                <w:rStyle w:val="Hyperlink"/>
                <w:noProof/>
              </w:rPr>
              <w:t>7. Making an application</w:t>
            </w:r>
            <w:r w:rsidR="00CC7613">
              <w:rPr>
                <w:noProof/>
                <w:webHidden/>
              </w:rPr>
              <w:tab/>
            </w:r>
            <w:r w:rsidR="00CC7613">
              <w:rPr>
                <w:noProof/>
                <w:webHidden/>
              </w:rPr>
              <w:fldChar w:fldCharType="begin"/>
            </w:r>
            <w:r w:rsidR="00CC7613">
              <w:rPr>
                <w:noProof/>
                <w:webHidden/>
              </w:rPr>
              <w:instrText xml:space="preserve"> PAGEREF _Toc468805171 \h </w:instrText>
            </w:r>
            <w:r w:rsidR="00CC7613">
              <w:rPr>
                <w:noProof/>
                <w:webHidden/>
              </w:rPr>
            </w:r>
            <w:r w:rsidR="00CC7613">
              <w:rPr>
                <w:noProof/>
                <w:webHidden/>
              </w:rPr>
              <w:fldChar w:fldCharType="separate"/>
            </w:r>
            <w:r>
              <w:rPr>
                <w:noProof/>
                <w:webHidden/>
              </w:rPr>
              <w:t>10</w:t>
            </w:r>
            <w:r w:rsidR="00CC7613">
              <w:rPr>
                <w:noProof/>
                <w:webHidden/>
              </w:rPr>
              <w:fldChar w:fldCharType="end"/>
            </w:r>
          </w:hyperlink>
        </w:p>
        <w:p w:rsidR="00CC7613" w:rsidRDefault="005A71B7" w:rsidP="00CC7613">
          <w:pPr>
            <w:pStyle w:val="TOC2"/>
            <w:tabs>
              <w:tab w:val="clear" w:pos="9639"/>
              <w:tab w:val="right" w:leader="dot" w:pos="9638"/>
            </w:tabs>
            <w:rPr>
              <w:rFonts w:asciiTheme="minorHAnsi" w:eastAsiaTheme="minorEastAsia" w:hAnsiTheme="minorHAnsi" w:cstheme="minorBidi"/>
              <w:noProof/>
              <w:sz w:val="22"/>
              <w:szCs w:val="22"/>
              <w:lang w:eastAsia="en-AU"/>
            </w:rPr>
          </w:pPr>
          <w:hyperlink w:anchor="_Toc468805172" w:history="1">
            <w:r w:rsidR="00CC7613" w:rsidRPr="007B6AD3">
              <w:rPr>
                <w:rStyle w:val="Hyperlink"/>
                <w:noProof/>
              </w:rPr>
              <w:t>8. Contact details</w:t>
            </w:r>
            <w:r w:rsidR="00CC7613">
              <w:rPr>
                <w:noProof/>
                <w:webHidden/>
              </w:rPr>
              <w:tab/>
            </w:r>
            <w:r w:rsidR="00CC7613">
              <w:rPr>
                <w:noProof/>
                <w:webHidden/>
              </w:rPr>
              <w:fldChar w:fldCharType="begin"/>
            </w:r>
            <w:r w:rsidR="00CC7613">
              <w:rPr>
                <w:noProof/>
                <w:webHidden/>
              </w:rPr>
              <w:instrText xml:space="preserve"> PAGEREF _Toc468805172 \h </w:instrText>
            </w:r>
            <w:r w:rsidR="00CC7613">
              <w:rPr>
                <w:noProof/>
                <w:webHidden/>
              </w:rPr>
            </w:r>
            <w:r w:rsidR="00CC7613">
              <w:rPr>
                <w:noProof/>
                <w:webHidden/>
              </w:rPr>
              <w:fldChar w:fldCharType="separate"/>
            </w:r>
            <w:r>
              <w:rPr>
                <w:noProof/>
                <w:webHidden/>
              </w:rPr>
              <w:t>10</w:t>
            </w:r>
            <w:r w:rsidR="00CC7613">
              <w:rPr>
                <w:noProof/>
                <w:webHidden/>
              </w:rPr>
              <w:fldChar w:fldCharType="end"/>
            </w:r>
          </w:hyperlink>
        </w:p>
        <w:p w:rsidR="00CC7613" w:rsidRDefault="005A71B7" w:rsidP="00CC7613">
          <w:pPr>
            <w:pStyle w:val="TOC2"/>
            <w:tabs>
              <w:tab w:val="clear" w:pos="9639"/>
              <w:tab w:val="right" w:leader="dot" w:pos="9638"/>
            </w:tabs>
            <w:rPr>
              <w:rFonts w:asciiTheme="minorHAnsi" w:eastAsiaTheme="minorEastAsia" w:hAnsiTheme="minorHAnsi" w:cstheme="minorBidi"/>
              <w:noProof/>
              <w:sz w:val="22"/>
              <w:szCs w:val="22"/>
              <w:lang w:eastAsia="en-AU"/>
            </w:rPr>
          </w:pPr>
          <w:hyperlink w:anchor="_Toc468805173" w:history="1">
            <w:r w:rsidR="00CC7613" w:rsidRPr="007B6AD3">
              <w:rPr>
                <w:rStyle w:val="Hyperlink"/>
                <w:noProof/>
              </w:rPr>
              <w:t>9. Further information</w:t>
            </w:r>
            <w:r w:rsidR="00CC7613">
              <w:rPr>
                <w:noProof/>
                <w:webHidden/>
              </w:rPr>
              <w:tab/>
            </w:r>
            <w:r w:rsidR="00CC7613">
              <w:rPr>
                <w:noProof/>
                <w:webHidden/>
              </w:rPr>
              <w:fldChar w:fldCharType="begin"/>
            </w:r>
            <w:r w:rsidR="00CC7613">
              <w:rPr>
                <w:noProof/>
                <w:webHidden/>
              </w:rPr>
              <w:instrText xml:space="preserve"> PAGEREF _Toc468805173 \h </w:instrText>
            </w:r>
            <w:r w:rsidR="00CC7613">
              <w:rPr>
                <w:noProof/>
                <w:webHidden/>
              </w:rPr>
            </w:r>
            <w:r w:rsidR="00CC7613">
              <w:rPr>
                <w:noProof/>
                <w:webHidden/>
              </w:rPr>
              <w:fldChar w:fldCharType="separate"/>
            </w:r>
            <w:r>
              <w:rPr>
                <w:noProof/>
                <w:webHidden/>
              </w:rPr>
              <w:t>10</w:t>
            </w:r>
            <w:r w:rsidR="00CC7613">
              <w:rPr>
                <w:noProof/>
                <w:webHidden/>
              </w:rPr>
              <w:fldChar w:fldCharType="end"/>
            </w:r>
          </w:hyperlink>
        </w:p>
        <w:p w:rsidR="00CC7613" w:rsidRDefault="00CC7613" w:rsidP="00CC7613">
          <w:pPr>
            <w:pStyle w:val="Heading2"/>
            <w:rPr>
              <w:noProof/>
            </w:rPr>
          </w:pPr>
          <w:r>
            <w:rPr>
              <w:b w:val="0"/>
              <w:bCs w:val="0"/>
              <w:sz w:val="24"/>
              <w:szCs w:val="24"/>
            </w:rPr>
            <w:fldChar w:fldCharType="end"/>
          </w:r>
        </w:p>
      </w:sdtContent>
    </w:sdt>
    <w:bookmarkEnd w:id="68" w:displacedByCustomXml="prev"/>
    <w:bookmarkEnd w:id="67" w:displacedByCustomXml="prev"/>
    <w:p w:rsidR="00CC7613" w:rsidRDefault="00CC7613" w:rsidP="00CC7613">
      <w:pPr>
        <w:spacing w:before="0" w:after="0"/>
        <w:rPr>
          <w:rFonts w:cs="Arial"/>
          <w:sz w:val="24"/>
          <w:szCs w:val="18"/>
        </w:rPr>
      </w:pPr>
      <w:r>
        <w:br w:type="page"/>
      </w:r>
    </w:p>
    <w:p w:rsidR="00CC7613" w:rsidRPr="00324842" w:rsidRDefault="00CC7613" w:rsidP="00CC7613">
      <w:pPr>
        <w:pStyle w:val="Heading2"/>
      </w:pPr>
      <w:bookmarkStart w:id="69" w:name="_Toc468805154"/>
      <w:r>
        <w:lastRenderedPageBreak/>
        <w:t xml:space="preserve">1. </w:t>
      </w:r>
      <w:r w:rsidRPr="00324842">
        <w:t>Introduction</w:t>
      </w:r>
      <w:bookmarkEnd w:id="20"/>
      <w:bookmarkEnd w:id="21"/>
      <w:bookmarkEnd w:id="22"/>
      <w:bookmarkEnd w:id="69"/>
    </w:p>
    <w:p w:rsidR="00CC7613" w:rsidRPr="006C750E" w:rsidRDefault="00CC7613" w:rsidP="00CC7613">
      <w:pPr>
        <w:pStyle w:val="BodyText"/>
      </w:pPr>
      <w:r w:rsidRPr="006C750E">
        <w:t>This Request for Service (RFS) is for the provision of place based services to deliver the Tenancy Assistance and Advocacy Program</w:t>
      </w:r>
      <w:r>
        <w:t xml:space="preserve"> </w:t>
      </w:r>
      <w:r w:rsidRPr="006C750E">
        <w:t>in the 17 Department of Health and Human Services (DHHS) service areas</w:t>
      </w:r>
      <w:r>
        <w:t xml:space="preserve"> for four years commencing 1 July 2017.</w:t>
      </w:r>
    </w:p>
    <w:p w:rsidR="00CC7613" w:rsidRPr="006C750E" w:rsidRDefault="00CC7613" w:rsidP="00CC7613">
      <w:pPr>
        <w:pStyle w:val="BodyText"/>
      </w:pPr>
      <w:r w:rsidRPr="006C750E">
        <w:t xml:space="preserve">The RFS is open to not-for-profit community </w:t>
      </w:r>
      <w:r>
        <w:t>organisations</w:t>
      </w:r>
      <w:r w:rsidRPr="006C750E">
        <w:t xml:space="preserve"> with demonstrated current experience in delivering tenancy services to disadvan</w:t>
      </w:r>
      <w:r>
        <w:t>taged and marginalised tenants.</w:t>
      </w:r>
    </w:p>
    <w:p w:rsidR="00CC7613" w:rsidRPr="00B97637" w:rsidRDefault="00CC7613" w:rsidP="00CC7613">
      <w:pPr>
        <w:pStyle w:val="Heading2"/>
      </w:pPr>
      <w:bookmarkStart w:id="70" w:name="_Toc465155264"/>
      <w:bookmarkStart w:id="71" w:name="_Toc465156594"/>
      <w:bookmarkStart w:id="72" w:name="_Toc465156736"/>
      <w:bookmarkStart w:id="73" w:name="_Toc468805155"/>
      <w:r>
        <w:t xml:space="preserve">2. </w:t>
      </w:r>
      <w:r w:rsidRPr="00B97637">
        <w:t>Background</w:t>
      </w:r>
      <w:bookmarkEnd w:id="70"/>
      <w:bookmarkEnd w:id="71"/>
      <w:bookmarkEnd w:id="72"/>
      <w:bookmarkEnd w:id="73"/>
    </w:p>
    <w:p w:rsidR="00CC7613" w:rsidRPr="006C750E" w:rsidRDefault="00CC7613" w:rsidP="00CC7613">
      <w:pPr>
        <w:pStyle w:val="BodyText"/>
      </w:pPr>
      <w:r w:rsidRPr="006C750E">
        <w:t xml:space="preserve">Consumer Affairs Victoria (CAV) currently funds a number of community </w:t>
      </w:r>
      <w:r>
        <w:t>organisations</w:t>
      </w:r>
      <w:r w:rsidRPr="006C750E">
        <w:t xml:space="preserve"> to provide tenancy and consumer services for vulnerable and disadvantaged</w:t>
      </w:r>
      <w:r>
        <w:t xml:space="preserve"> private tenants and consumers.</w:t>
      </w:r>
    </w:p>
    <w:p w:rsidR="00CC7613" w:rsidRPr="006C750E" w:rsidRDefault="00CC7613" w:rsidP="00CC7613">
      <w:pPr>
        <w:pStyle w:val="BodyText"/>
      </w:pPr>
      <w:r w:rsidRPr="006C750E">
        <w:t xml:space="preserve">The current service delivery model </w:t>
      </w:r>
      <w:r>
        <w:t>was</w:t>
      </w:r>
      <w:r w:rsidRPr="006C750E">
        <w:t xml:space="preserve"> reviewed </w:t>
      </w:r>
      <w:r>
        <w:t xml:space="preserve">during 2015-16 </w:t>
      </w:r>
      <w:r w:rsidRPr="006C750E">
        <w:t xml:space="preserve">in consultation with providers and other stakeholders. The review recommended revisions to the service delivery model to ensure these services are delivered in an integrated, </w:t>
      </w:r>
      <w:r>
        <w:t>efficient and effective manner.</w:t>
      </w:r>
    </w:p>
    <w:p w:rsidR="00CC7613" w:rsidRPr="006C750E" w:rsidRDefault="00CC7613" w:rsidP="00CC7613">
      <w:pPr>
        <w:pStyle w:val="BodyText"/>
      </w:pPr>
      <w:r w:rsidRPr="006C750E">
        <w:t xml:space="preserve">The outcome is the design and development of four programs to support disadvantaged Victorians most at risk </w:t>
      </w:r>
      <w:r>
        <w:t>of tenancy and consumer issues.</w:t>
      </w:r>
    </w:p>
    <w:p w:rsidR="00CC7613" w:rsidRPr="006C750E" w:rsidRDefault="00CC7613" w:rsidP="00CC7613">
      <w:pPr>
        <w:pStyle w:val="BodyText"/>
      </w:pPr>
      <w:r w:rsidRPr="006C750E">
        <w:t>The four programs are</w:t>
      </w:r>
      <w:r>
        <w:t xml:space="preserve"> the:</w:t>
      </w:r>
    </w:p>
    <w:p w:rsidR="00CC7613" w:rsidRPr="002B30F2" w:rsidRDefault="00CC7613" w:rsidP="00CC7613">
      <w:pPr>
        <w:pStyle w:val="ListBullet"/>
      </w:pPr>
      <w:r w:rsidRPr="002B30F2">
        <w:t>Tenancy Assistance and Advocacy Program (the subject of this RFS)</w:t>
      </w:r>
    </w:p>
    <w:p w:rsidR="00CC7613" w:rsidRPr="002B30F2" w:rsidRDefault="00CC7613" w:rsidP="00CC7613">
      <w:pPr>
        <w:pStyle w:val="ListBullet"/>
      </w:pPr>
      <w:r w:rsidRPr="002B30F2">
        <w:t>Tenancy Central Service</w:t>
      </w:r>
    </w:p>
    <w:p w:rsidR="00CC7613" w:rsidRPr="002B30F2" w:rsidRDefault="00CC7613" w:rsidP="00CC7613">
      <w:pPr>
        <w:pStyle w:val="ListBullet"/>
      </w:pPr>
      <w:r w:rsidRPr="002B30F2">
        <w:t>Retirement Housing Assistance and Advocacy Program, and</w:t>
      </w:r>
    </w:p>
    <w:p w:rsidR="00CC7613" w:rsidRPr="002B30F2" w:rsidRDefault="00CC7613" w:rsidP="00CC7613">
      <w:pPr>
        <w:pStyle w:val="ListBullet"/>
      </w:pPr>
      <w:r w:rsidRPr="002B30F2">
        <w:t>Consumer Assistance and Advocacy Program.</w:t>
      </w:r>
    </w:p>
    <w:p w:rsidR="00CC7613" w:rsidRDefault="00CC7613" w:rsidP="00CC7613">
      <w:pPr>
        <w:pStyle w:val="BodyText"/>
      </w:pPr>
      <w:r>
        <w:t>CAV</w:t>
      </w:r>
      <w:r w:rsidRPr="006C750E">
        <w:t xml:space="preserve"> is responsible for the </w:t>
      </w:r>
      <w:r>
        <w:t>administration</w:t>
      </w:r>
      <w:r w:rsidRPr="006C750E">
        <w:t xml:space="preserve"> of the</w:t>
      </w:r>
      <w:r>
        <w:t>se four programs.</w:t>
      </w:r>
    </w:p>
    <w:p w:rsidR="00CC7613" w:rsidRPr="006C750E" w:rsidRDefault="00CC7613" w:rsidP="00CC7613">
      <w:pPr>
        <w:pStyle w:val="BodyText"/>
      </w:pPr>
      <w:r w:rsidRPr="006C750E">
        <w:t>This RFS is for the Tenancy Assistance an</w:t>
      </w:r>
      <w:r>
        <w:t>d Advocacy Program (TAAP) only.</w:t>
      </w:r>
    </w:p>
    <w:p w:rsidR="00CC7613" w:rsidRPr="004E41C1" w:rsidRDefault="00CC7613" w:rsidP="00CC7613">
      <w:pPr>
        <w:pStyle w:val="BodyText"/>
      </w:pPr>
      <w:r>
        <w:t xml:space="preserve">The TAAP is required to be delivered in each of the 17 DHHS service areas. </w:t>
      </w:r>
      <w:r w:rsidRPr="004E41C1">
        <w:t xml:space="preserve">The TAAP service </w:t>
      </w:r>
      <w:r>
        <w:t>is to</w:t>
      </w:r>
      <w:r w:rsidRPr="004E41C1">
        <w:t xml:space="preserve"> be administered across Victoria according to the seventeen geographic service delivery areas determined by the DHHS. View an online </w:t>
      </w:r>
      <w:hyperlink r:id="rId9" w:history="1">
        <w:r w:rsidRPr="004E41C1">
          <w:rPr>
            <w:rStyle w:val="Hyperlink"/>
          </w:rPr>
          <w:t>map of the DHHS service area</w:t>
        </w:r>
        <w:r>
          <w:rPr>
            <w:rStyle w:val="Hyperlink"/>
          </w:rPr>
          <w:t>s (PDF, 1MB)</w:t>
        </w:r>
      </w:hyperlink>
      <w:r w:rsidRPr="004E41C1">
        <w:rPr>
          <w:color w:val="000000"/>
        </w:rPr>
        <w:t xml:space="preserve"> (http://www.dhs.vic.gov.au/__data/assets/pdf_file/0005/749516/department-of-human-services-victoria-map-areas-and-local-government-areas.pdf)</w:t>
      </w:r>
    </w:p>
    <w:p w:rsidR="00CC7613" w:rsidRPr="006C750E" w:rsidRDefault="00CC7613" w:rsidP="00CC7613">
      <w:pPr>
        <w:pStyle w:val="BodyText"/>
      </w:pPr>
      <w:r>
        <w:t>An</w:t>
      </w:r>
      <w:r w:rsidRPr="006C750E">
        <w:t xml:space="preserve"> </w:t>
      </w:r>
      <w:r>
        <w:t>organisation</w:t>
      </w:r>
      <w:r w:rsidRPr="006C750E">
        <w:t xml:space="preserve"> may apply for more than one of the 17 areas</w:t>
      </w:r>
      <w:r>
        <w:t>,</w:t>
      </w:r>
      <w:r w:rsidRPr="006C750E">
        <w:t xml:space="preserve"> however a separate application </w:t>
      </w:r>
      <w:r>
        <w:t xml:space="preserve">must be submitted </w:t>
      </w:r>
      <w:r w:rsidRPr="006C750E">
        <w:t>for each service area</w:t>
      </w:r>
      <w:r>
        <w:t>. Each application must address the following topics in the context of the specific service area covered by the application</w:t>
      </w:r>
      <w:r w:rsidRPr="006C750E">
        <w:t>:</w:t>
      </w:r>
    </w:p>
    <w:p w:rsidR="00CC7613" w:rsidRPr="006C750E" w:rsidRDefault="00CC7613" w:rsidP="00CC7613">
      <w:pPr>
        <w:pStyle w:val="ListBullet"/>
      </w:pPr>
      <w:r w:rsidRPr="006C750E">
        <w:t>issues and needs</w:t>
      </w:r>
    </w:p>
    <w:p w:rsidR="00CC7613" w:rsidRPr="006C750E" w:rsidRDefault="00CC7613" w:rsidP="00CC7613">
      <w:pPr>
        <w:pStyle w:val="ListBullet"/>
      </w:pPr>
      <w:r w:rsidRPr="006C750E">
        <w:t xml:space="preserve">referral pathways with other local services </w:t>
      </w:r>
    </w:p>
    <w:p w:rsidR="00CC7613" w:rsidRPr="006C750E" w:rsidRDefault="00CC7613" w:rsidP="00CC7613">
      <w:pPr>
        <w:pStyle w:val="ListBullet"/>
      </w:pPr>
      <w:r>
        <w:t xml:space="preserve">the </w:t>
      </w:r>
      <w:r w:rsidRPr="006C750E">
        <w:t>Full T</w:t>
      </w:r>
      <w:r>
        <w:t>ime Equivalent (FTE) allocation, and</w:t>
      </w:r>
    </w:p>
    <w:p w:rsidR="00CC7613" w:rsidRPr="006C750E" w:rsidRDefault="00CC7613" w:rsidP="00CC7613">
      <w:pPr>
        <w:pStyle w:val="ListBullet"/>
      </w:pPr>
      <w:r w:rsidRPr="006C750E">
        <w:t>data and narrative reporting requirements.</w:t>
      </w:r>
    </w:p>
    <w:p w:rsidR="00CC7613" w:rsidRPr="00EA530C" w:rsidRDefault="00CC7613" w:rsidP="00CC7613">
      <w:pPr>
        <w:pStyle w:val="Heading2"/>
      </w:pPr>
      <w:bookmarkStart w:id="74" w:name="_Toc465155266"/>
      <w:bookmarkStart w:id="75" w:name="_Toc465156596"/>
      <w:bookmarkStart w:id="76" w:name="_Toc465156738"/>
      <w:bookmarkStart w:id="77" w:name="_Toc468805156"/>
      <w:r>
        <w:lastRenderedPageBreak/>
        <w:t>3. Overview of TAAP s</w:t>
      </w:r>
      <w:r w:rsidRPr="00EA530C">
        <w:t>ervices</w:t>
      </w:r>
      <w:bookmarkEnd w:id="74"/>
      <w:bookmarkEnd w:id="75"/>
      <w:bookmarkEnd w:id="76"/>
      <w:bookmarkEnd w:id="77"/>
    </w:p>
    <w:p w:rsidR="00CC7613" w:rsidRPr="00D4788A" w:rsidRDefault="00CC7613" w:rsidP="00CC7613">
      <w:pPr>
        <w:pStyle w:val="BodyText"/>
      </w:pPr>
      <w:r w:rsidRPr="006C750E">
        <w:t xml:space="preserve">The TAAP </w:t>
      </w:r>
      <w:r>
        <w:t xml:space="preserve">will </w:t>
      </w:r>
      <w:r w:rsidRPr="006C750E">
        <w:t>assist</w:t>
      </w:r>
      <w:r>
        <w:t xml:space="preserve"> Victorians who are financially disadvantaged (or victims of family violence) who</w:t>
      </w:r>
      <w:r w:rsidRPr="006C750E">
        <w:t xml:space="preserve"> have a private tenancy agreement under the </w:t>
      </w:r>
      <w:r w:rsidRPr="006C750E">
        <w:rPr>
          <w:i/>
        </w:rPr>
        <w:t xml:space="preserve">Residential Tenancies Act </w:t>
      </w:r>
      <w:r w:rsidRPr="00D4788A">
        <w:rPr>
          <w:i/>
        </w:rPr>
        <w:t>1997</w:t>
      </w:r>
      <w:r w:rsidRPr="00D4788A">
        <w:t xml:space="preserve"> (RTA).</w:t>
      </w:r>
      <w:r>
        <w:t xml:space="preserve"> </w:t>
      </w:r>
      <w:r w:rsidRPr="00D4788A">
        <w:t xml:space="preserve">The term ‘tenant’ is used to refer to both tenants and residents throughout this </w:t>
      </w:r>
      <w:r>
        <w:t>RFS</w:t>
      </w:r>
      <w:r w:rsidRPr="00A56071">
        <w:t xml:space="preserve"> (both terms appear in the RTA).</w:t>
      </w:r>
    </w:p>
    <w:p w:rsidR="00CC7613" w:rsidRDefault="00CC7613" w:rsidP="00CC7613">
      <w:pPr>
        <w:pStyle w:val="BodyText"/>
      </w:pPr>
      <w:r>
        <w:t xml:space="preserve">This cohort of private tenants </w:t>
      </w:r>
      <w:r w:rsidRPr="006C750E">
        <w:t>often experience tenancy problems that if not addressed can lead to adverse outcomes</w:t>
      </w:r>
      <w:r>
        <w:t xml:space="preserve">, </w:t>
      </w:r>
      <w:r w:rsidRPr="006C750E">
        <w:t>including loss of accommodation</w:t>
      </w:r>
      <w:r>
        <w:t xml:space="preserve"> or</w:t>
      </w:r>
      <w:r w:rsidRPr="006C750E">
        <w:t xml:space="preserve"> even homelessness.</w:t>
      </w:r>
    </w:p>
    <w:p w:rsidR="00CC7613" w:rsidRPr="002E0A5D" w:rsidRDefault="00CC7613" w:rsidP="00CC7613">
      <w:pPr>
        <w:pStyle w:val="BodyText"/>
      </w:pPr>
      <w:r w:rsidRPr="006C750E">
        <w:t>Tenants in social housing (both public and community) are not eligible for TAAP services.</w:t>
      </w:r>
      <w:r>
        <w:t xml:space="preserve"> They are eligible for support through the DHHS funded Social Housing and Support Program (SHASP).</w:t>
      </w:r>
    </w:p>
    <w:p w:rsidR="00CC7613" w:rsidRPr="004B36F2" w:rsidRDefault="00CC7613" w:rsidP="00CC7613">
      <w:pPr>
        <w:pStyle w:val="ListBullet2"/>
        <w:numPr>
          <w:ilvl w:val="0"/>
          <w:numId w:val="0"/>
        </w:numPr>
      </w:pPr>
      <w:r w:rsidRPr="006C750E">
        <w:t xml:space="preserve">The TAAP provides </w:t>
      </w:r>
      <w:r>
        <w:t xml:space="preserve">place based </w:t>
      </w:r>
      <w:r w:rsidRPr="006C750E">
        <w:t>tenancy information and casework</w:t>
      </w:r>
      <w:r>
        <w:t>,</w:t>
      </w:r>
      <w:r w:rsidRPr="006C750E">
        <w:t xml:space="preserve"> v</w:t>
      </w:r>
      <w:r>
        <w:t xml:space="preserve">ia phone or face-to-face, across Victoria. The service areas with the respective resource allocation are shown in the </w:t>
      </w:r>
      <w:r w:rsidRPr="00570371">
        <w:t xml:space="preserve">TAAP FTE and </w:t>
      </w:r>
      <w:hyperlink r:id="rId10" w:history="1">
        <w:r w:rsidRPr="00273D00">
          <w:rPr>
            <w:rStyle w:val="Hyperlink"/>
          </w:rPr>
          <w:t>TAAP FTE and Funding Allocation 2017-18 (Word, 106KB)</w:t>
        </w:r>
      </w:hyperlink>
      <w:r>
        <w:t xml:space="preserve"> (</w:t>
      </w:r>
      <w:r w:rsidRPr="00D73CA4">
        <w:t>https://www.consumer.vic.gov.au/library/forms/clubs-and-not-for-profits/grants/taap-fte-allocation-2017-18.doc</w:t>
      </w:r>
      <w:r>
        <w:t>).</w:t>
      </w:r>
    </w:p>
    <w:p w:rsidR="00CC7613" w:rsidRDefault="00CC7613" w:rsidP="00CC7613">
      <w:pPr>
        <w:pStyle w:val="BodyText"/>
      </w:pPr>
      <w:r>
        <w:t>TAAP services will be supported by the Tenancy Central Service (TCS). The TCS provides a tenancy advice service that includes induction training and professional development opportunities for the TAAP workers.</w:t>
      </w:r>
    </w:p>
    <w:p w:rsidR="00CC7613" w:rsidRDefault="00CC7613" w:rsidP="00CC7613">
      <w:pPr>
        <w:pStyle w:val="BodyText"/>
      </w:pPr>
      <w:r>
        <w:t>TAAP workers will also be able to refer to the Retirement Housing Assistance and Advocacy Program, which will assist retirement housing residents who are living in dwellings</w:t>
      </w:r>
      <w:r w:rsidRPr="00142D96">
        <w:t xml:space="preserve"> </w:t>
      </w:r>
      <w:r>
        <w:t xml:space="preserve">covered by the </w:t>
      </w:r>
      <w:r w:rsidRPr="00142D96">
        <w:rPr>
          <w:i/>
        </w:rPr>
        <w:t>Retirement Villages Act 1986</w:t>
      </w:r>
      <w:r w:rsidRPr="00142D96">
        <w:t xml:space="preserve"> (RVA)</w:t>
      </w:r>
      <w:r>
        <w:t>, or retirement villages, rental villages, caravan parks or residential parks covered by the RTA.</w:t>
      </w:r>
    </w:p>
    <w:p w:rsidR="00CC7613" w:rsidRPr="00F56411" w:rsidRDefault="00CC7613" w:rsidP="00CC7613">
      <w:pPr>
        <w:pStyle w:val="Heading3"/>
      </w:pPr>
      <w:bookmarkStart w:id="78" w:name="_Toc465155267"/>
      <w:bookmarkStart w:id="79" w:name="_Toc465156597"/>
      <w:bookmarkStart w:id="80" w:name="_Toc465156739"/>
      <w:bookmarkStart w:id="81" w:name="_Toc468805157"/>
      <w:r w:rsidRPr="00F56411">
        <w:t>3.1 Service objectives</w:t>
      </w:r>
      <w:bookmarkEnd w:id="78"/>
      <w:bookmarkEnd w:id="79"/>
      <w:bookmarkEnd w:id="80"/>
      <w:bookmarkEnd w:id="81"/>
    </w:p>
    <w:p w:rsidR="00CC7613" w:rsidRPr="006C750E" w:rsidRDefault="00CC7613" w:rsidP="00CC7613">
      <w:pPr>
        <w:pStyle w:val="BodyText"/>
      </w:pPr>
      <w:r w:rsidRPr="006C750E">
        <w:t>The key service objectives of the TAAP are to:</w:t>
      </w:r>
    </w:p>
    <w:p w:rsidR="00CC7613" w:rsidRPr="006C750E" w:rsidRDefault="00CC7613" w:rsidP="00CC7613">
      <w:pPr>
        <w:pStyle w:val="ListBullet"/>
      </w:pPr>
      <w:r w:rsidRPr="006C750E">
        <w:t xml:space="preserve">provide a quality tenancy assistance and advocacy service to </w:t>
      </w:r>
      <w:r>
        <w:t>Victorians who are financially disadvantaged or victims of family violence</w:t>
      </w:r>
    </w:p>
    <w:p w:rsidR="00CC7613" w:rsidRPr="006C750E" w:rsidRDefault="00CC7613" w:rsidP="00CC7613">
      <w:pPr>
        <w:pStyle w:val="ListBullet"/>
      </w:pPr>
      <w:r w:rsidRPr="006C750E">
        <w:t>provide clients with the least intensive, and therefore least expensive, se</w:t>
      </w:r>
      <w:r>
        <w:t>rvice that meets the client’s need, and</w:t>
      </w:r>
    </w:p>
    <w:p w:rsidR="00CC7613" w:rsidRPr="006C750E" w:rsidRDefault="00CC7613" w:rsidP="00CC7613">
      <w:pPr>
        <w:pStyle w:val="ListBullet"/>
      </w:pPr>
      <w:r w:rsidRPr="006C750E">
        <w:t>provide clients with a similar service</w:t>
      </w:r>
      <w:r>
        <w:t>,</w:t>
      </w:r>
      <w:r w:rsidRPr="006C750E">
        <w:t xml:space="preserve"> regardless of their service location or the means of delivery.</w:t>
      </w:r>
      <w:r>
        <w:t xml:space="preserve"> </w:t>
      </w:r>
      <w:r w:rsidRPr="006C750E">
        <w:t>In particular:</w:t>
      </w:r>
    </w:p>
    <w:p w:rsidR="00CC7613" w:rsidRPr="006C750E" w:rsidRDefault="00CC7613" w:rsidP="00CC7613">
      <w:pPr>
        <w:pStyle w:val="ListBullet2"/>
      </w:pPr>
      <w:r w:rsidRPr="006C750E">
        <w:t xml:space="preserve">clients should receive a similar level of service no matter which </w:t>
      </w:r>
      <w:r>
        <w:t>organisation</w:t>
      </w:r>
      <w:r w:rsidRPr="006C750E">
        <w:t xml:space="preserve"> they </w:t>
      </w:r>
      <w:r>
        <w:t>contact, and</w:t>
      </w:r>
    </w:p>
    <w:p w:rsidR="00CC7613" w:rsidRPr="006C750E" w:rsidRDefault="00CC7613" w:rsidP="00CC7613">
      <w:pPr>
        <w:pStyle w:val="ListBullet2"/>
      </w:pPr>
      <w:r w:rsidRPr="006C750E">
        <w:t xml:space="preserve">decisions about the eligibility and priority of service offered are based on common criteria across all </w:t>
      </w:r>
      <w:r>
        <w:t>organisations</w:t>
      </w:r>
      <w:r w:rsidRPr="006C750E">
        <w:t>.</w:t>
      </w:r>
    </w:p>
    <w:p w:rsidR="00CC7613" w:rsidRPr="00EA530C" w:rsidRDefault="00CC7613" w:rsidP="00CC7613">
      <w:pPr>
        <w:pStyle w:val="Heading3"/>
      </w:pPr>
      <w:bookmarkStart w:id="82" w:name="_Toc465155268"/>
      <w:bookmarkStart w:id="83" w:name="_Toc465156598"/>
      <w:bookmarkStart w:id="84" w:name="_Toc465156740"/>
      <w:bookmarkStart w:id="85" w:name="_Toc468805158"/>
      <w:r>
        <w:t>3.2 The role of the TAAP w</w:t>
      </w:r>
      <w:r w:rsidRPr="00EA530C">
        <w:t>orker</w:t>
      </w:r>
      <w:bookmarkEnd w:id="82"/>
      <w:bookmarkEnd w:id="83"/>
      <w:bookmarkEnd w:id="84"/>
      <w:bookmarkEnd w:id="85"/>
    </w:p>
    <w:p w:rsidR="00CC7613" w:rsidRPr="006C750E" w:rsidRDefault="00CC7613" w:rsidP="00CC7613">
      <w:pPr>
        <w:pStyle w:val="BodyText"/>
      </w:pPr>
      <w:r>
        <w:t>The TAAP will be delivered by TAAP workers employed by the organisations funded by CAV. The TAAP worker is a skilled</w:t>
      </w:r>
      <w:r w:rsidRPr="006C750E">
        <w:t xml:space="preserve"> para-legal </w:t>
      </w:r>
      <w:r>
        <w:t xml:space="preserve">position requiring a sound knowledge of </w:t>
      </w:r>
      <w:r>
        <w:lastRenderedPageBreak/>
        <w:t xml:space="preserve">tenancy law and practice, including the </w:t>
      </w:r>
      <w:r w:rsidRPr="00CE272B">
        <w:t>RTA</w:t>
      </w:r>
      <w:r>
        <w:rPr>
          <w:i/>
        </w:rPr>
        <w:t xml:space="preserve"> </w:t>
      </w:r>
      <w:r>
        <w:t>and Victorian Civil and Administrative Tribunal (VCAT) processes.</w:t>
      </w:r>
    </w:p>
    <w:p w:rsidR="00CC7613" w:rsidRPr="00EA530C" w:rsidRDefault="00CC7613" w:rsidP="00CC7613">
      <w:pPr>
        <w:pStyle w:val="Heading3"/>
      </w:pPr>
      <w:bookmarkStart w:id="86" w:name="_Toc465155270"/>
      <w:bookmarkStart w:id="87" w:name="_Toc465156600"/>
      <w:bookmarkStart w:id="88" w:name="_Toc465156742"/>
      <w:bookmarkStart w:id="89" w:name="_Toc468805159"/>
      <w:r>
        <w:t>3.3 Service t</w:t>
      </w:r>
      <w:r w:rsidRPr="00EA530C">
        <w:t>ypes</w:t>
      </w:r>
      <w:bookmarkEnd w:id="86"/>
      <w:bookmarkEnd w:id="87"/>
      <w:bookmarkEnd w:id="88"/>
      <w:bookmarkEnd w:id="89"/>
      <w:r w:rsidRPr="00EA530C">
        <w:t xml:space="preserve"> </w:t>
      </w:r>
    </w:p>
    <w:p w:rsidR="00CC7613" w:rsidRPr="006C750E" w:rsidRDefault="00CC7613" w:rsidP="00CC7613">
      <w:pPr>
        <w:pStyle w:val="BodyText"/>
      </w:pPr>
      <w:r w:rsidRPr="006C750E">
        <w:t>There are four service types provided by TAAP:</w:t>
      </w:r>
    </w:p>
    <w:p w:rsidR="00CC7613" w:rsidRPr="00D92028" w:rsidRDefault="00CC7613" w:rsidP="00CC7613">
      <w:pPr>
        <w:pStyle w:val="ListBullet"/>
      </w:pPr>
      <w:r w:rsidRPr="00D92028">
        <w:t>Information and referral</w:t>
      </w:r>
    </w:p>
    <w:p w:rsidR="00CC7613" w:rsidRPr="006C750E" w:rsidRDefault="00CC7613" w:rsidP="00CC7613">
      <w:pPr>
        <w:pStyle w:val="ListBullet"/>
      </w:pPr>
      <w:r>
        <w:t>Negotiation (on behalf of tenants)</w:t>
      </w:r>
    </w:p>
    <w:p w:rsidR="00CC7613" w:rsidRPr="006C750E" w:rsidRDefault="00CC7613" w:rsidP="00CC7613">
      <w:pPr>
        <w:pStyle w:val="ListBullet"/>
      </w:pPr>
      <w:r w:rsidRPr="006C750E">
        <w:t xml:space="preserve">VCAT assistance </w:t>
      </w:r>
      <w:r>
        <w:t>(</w:t>
      </w:r>
      <w:r w:rsidRPr="006C750E">
        <w:t>includ</w:t>
      </w:r>
      <w:r>
        <w:t>ing</w:t>
      </w:r>
      <w:r w:rsidRPr="006C750E">
        <w:t xml:space="preserve"> both VCAT</w:t>
      </w:r>
      <w:r>
        <w:t xml:space="preserve"> preparation and representation),</w:t>
      </w:r>
      <w:r w:rsidRPr="006C750E">
        <w:t xml:space="preserve"> and</w:t>
      </w:r>
    </w:p>
    <w:p w:rsidR="00CC7613" w:rsidRDefault="00CC7613" w:rsidP="00CC7613">
      <w:pPr>
        <w:pStyle w:val="ListBullet"/>
      </w:pPr>
      <w:r>
        <w:t>O</w:t>
      </w:r>
      <w:r w:rsidRPr="006C750E">
        <w:t xml:space="preserve">utreach </w:t>
      </w:r>
      <w:r>
        <w:t xml:space="preserve">(an </w:t>
      </w:r>
      <w:r w:rsidRPr="006C750E">
        <w:t>optional</w:t>
      </w:r>
      <w:r>
        <w:t xml:space="preserve"> </w:t>
      </w:r>
      <w:r w:rsidRPr="006C750E">
        <w:t>non</w:t>
      </w:r>
      <w:r>
        <w:t>-</w:t>
      </w:r>
      <w:r w:rsidRPr="006C750E">
        <w:t>client</w:t>
      </w:r>
      <w:r>
        <w:t xml:space="preserve"> service)</w:t>
      </w:r>
      <w:r w:rsidRPr="006C750E">
        <w:t>.</w:t>
      </w:r>
    </w:p>
    <w:p w:rsidR="00CC7613" w:rsidRDefault="00CC7613" w:rsidP="00CC7613">
      <w:pPr>
        <w:pStyle w:val="ListBullet2"/>
        <w:numPr>
          <w:ilvl w:val="0"/>
          <w:numId w:val="0"/>
        </w:numPr>
      </w:pPr>
      <w:r>
        <w:t xml:space="preserve">The TAAP provider will be required to adopt </w:t>
      </w:r>
      <w:r w:rsidRPr="00570371">
        <w:t xml:space="preserve">the </w:t>
      </w:r>
      <w:hyperlink r:id="rId11" w:history="1">
        <w:r w:rsidRPr="00273D00">
          <w:rPr>
            <w:rStyle w:val="Hyperlink"/>
          </w:rPr>
          <w:t>TAAP Service Delivery Model (Word, 295KB)</w:t>
        </w:r>
      </w:hyperlink>
      <w:r>
        <w:t xml:space="preserve"> (</w:t>
      </w:r>
      <w:r w:rsidRPr="00D73CA4">
        <w:t>https://www.consumer.vic.gov.au/library/forms/clubs-and-not-for-profits/grants/taap-service-delivery-model-2017-21.doc</w:t>
      </w:r>
      <w:r>
        <w:t>)</w:t>
      </w:r>
      <w:r w:rsidRPr="00570371">
        <w:t>,</w:t>
      </w:r>
      <w:r>
        <w:t xml:space="preserve"> (the Model) for the assessment, provision and recording of services. Detailed information on each service type is provided in the </w:t>
      </w:r>
      <w:r w:rsidRPr="007A08EA">
        <w:rPr>
          <w:shd w:val="clear" w:color="auto" w:fill="FFFFFF" w:themeFill="background1"/>
        </w:rPr>
        <w:t>Model, to</w:t>
      </w:r>
      <w:r>
        <w:t xml:space="preserve"> be read in conjunction with this RFS.</w:t>
      </w:r>
    </w:p>
    <w:p w:rsidR="00CC7613" w:rsidRPr="006C750E" w:rsidRDefault="00CC7613" w:rsidP="00CC7613">
      <w:pPr>
        <w:pStyle w:val="BodyText"/>
      </w:pPr>
      <w:r w:rsidRPr="006C750E">
        <w:t>For each service type</w:t>
      </w:r>
      <w:r>
        <w:t>,</w:t>
      </w:r>
      <w:r w:rsidRPr="006C750E">
        <w:t xml:space="preserve"> </w:t>
      </w:r>
      <w:r>
        <w:t>TAAP</w:t>
      </w:r>
      <w:r w:rsidRPr="006C750E">
        <w:t xml:space="preserve"> workers will be expected to record </w:t>
      </w:r>
      <w:r>
        <w:t>the duration of the services provided (</w:t>
      </w:r>
      <w:r w:rsidRPr="006C750E">
        <w:t>service</w:t>
      </w:r>
      <w:r>
        <w:t xml:space="preserve"> hours)</w:t>
      </w:r>
      <w:r w:rsidRPr="006C750E">
        <w:t>.</w:t>
      </w:r>
    </w:p>
    <w:p w:rsidR="00CC7613" w:rsidRPr="00081FAA" w:rsidRDefault="00CC7613" w:rsidP="00CC7613">
      <w:pPr>
        <w:pStyle w:val="Heading2"/>
      </w:pPr>
      <w:bookmarkStart w:id="90" w:name="_Toc465155272"/>
      <w:bookmarkStart w:id="91" w:name="_Toc465156602"/>
      <w:bookmarkStart w:id="92" w:name="_Toc465156744"/>
      <w:bookmarkStart w:id="93" w:name="_Toc468805160"/>
      <w:r>
        <w:t>4. TAAP S</w:t>
      </w:r>
      <w:r w:rsidRPr="00081FAA">
        <w:t xml:space="preserve">ervice </w:t>
      </w:r>
      <w:r>
        <w:t>Delivery M</w:t>
      </w:r>
      <w:r w:rsidRPr="00081FAA">
        <w:t>odel</w:t>
      </w:r>
      <w:bookmarkEnd w:id="90"/>
      <w:bookmarkEnd w:id="91"/>
      <w:bookmarkEnd w:id="92"/>
      <w:bookmarkEnd w:id="93"/>
    </w:p>
    <w:p w:rsidR="00CC7613" w:rsidRPr="003B1E68" w:rsidRDefault="00CC7613" w:rsidP="00CC7613">
      <w:pPr>
        <w:pStyle w:val="ListBullet2"/>
        <w:numPr>
          <w:ilvl w:val="0"/>
          <w:numId w:val="0"/>
        </w:numPr>
      </w:pPr>
      <w:r w:rsidRPr="00081FAA">
        <w:t xml:space="preserve">The </w:t>
      </w:r>
      <w:r>
        <w:t xml:space="preserve">new </w:t>
      </w:r>
      <w:hyperlink r:id="rId12" w:history="1">
        <w:r w:rsidRPr="00273D00">
          <w:rPr>
            <w:rStyle w:val="Hyperlink"/>
          </w:rPr>
          <w:t>TAAP Service Delivery Model (Word, 295KB)</w:t>
        </w:r>
      </w:hyperlink>
      <w:r>
        <w:t xml:space="preserve"> (</w:t>
      </w:r>
      <w:r w:rsidRPr="00D73CA4">
        <w:t>https://www.consumer.vic.gov.au/library/forms/clubs-and-not-for-profits/grants/taap-service-delivery-model-2017-21.doc</w:t>
      </w:r>
      <w:r>
        <w:t>)</w:t>
      </w:r>
      <w:r w:rsidRPr="00570371">
        <w:t>,</w:t>
      </w:r>
      <w:r>
        <w:t xml:space="preserve"> </w:t>
      </w:r>
      <w:r w:rsidRPr="00081FAA">
        <w:t xml:space="preserve">will apply from </w:t>
      </w:r>
      <w:r>
        <w:t xml:space="preserve">1 </w:t>
      </w:r>
      <w:r w:rsidRPr="00081FAA">
        <w:t>July 2017.</w:t>
      </w:r>
      <w:r>
        <w:t xml:space="preserve"> </w:t>
      </w:r>
      <w:r w:rsidRPr="00081FAA">
        <w:t xml:space="preserve">The </w:t>
      </w:r>
      <w:r>
        <w:t>Model</w:t>
      </w:r>
      <w:r w:rsidRPr="00081FAA">
        <w:t xml:space="preserve"> consists of seven major compone</w:t>
      </w:r>
      <w:r>
        <w:t>nts and associated requirements.</w:t>
      </w:r>
    </w:p>
    <w:p w:rsidR="00CC7613" w:rsidRPr="006C750E" w:rsidRDefault="00CC7613" w:rsidP="00CC7613">
      <w:pPr>
        <w:pStyle w:val="BodyText"/>
      </w:pPr>
      <w:r>
        <w:t>When preparing their application, organisations</w:t>
      </w:r>
      <w:r w:rsidRPr="006C750E">
        <w:t xml:space="preserve"> should carefully consider the requirements </w:t>
      </w:r>
      <w:r>
        <w:t>of this RFS and the Model, a</w:t>
      </w:r>
      <w:r w:rsidRPr="006C750E">
        <w:t>nd advise on their ability to deliver</w:t>
      </w:r>
      <w:r>
        <w:t xml:space="preserve"> on</w:t>
      </w:r>
      <w:r w:rsidRPr="006C750E">
        <w:t xml:space="preserve"> the requirements</w:t>
      </w:r>
      <w:r>
        <w:t xml:space="preserve"> of the Model</w:t>
      </w:r>
      <w:r w:rsidRPr="006C750E">
        <w:t>.</w:t>
      </w:r>
    </w:p>
    <w:p w:rsidR="00CC7613" w:rsidRDefault="00CC7613" w:rsidP="00CC7613">
      <w:pPr>
        <w:pStyle w:val="BodyText"/>
      </w:pPr>
      <w:r>
        <w:t>T</w:t>
      </w:r>
      <w:r w:rsidRPr="006C750E">
        <w:t>o assist</w:t>
      </w:r>
      <w:r>
        <w:t xml:space="preserve"> organisations apply </w:t>
      </w:r>
      <w:r w:rsidRPr="006C750E">
        <w:t xml:space="preserve">the </w:t>
      </w:r>
      <w:r>
        <w:t>M</w:t>
      </w:r>
      <w:r w:rsidRPr="006C750E">
        <w:t>odel</w:t>
      </w:r>
      <w:r>
        <w:t xml:space="preserve">, CAV will develop </w:t>
      </w:r>
      <w:r w:rsidRPr="006C750E">
        <w:t>TAAP Operational Guidelines and</w:t>
      </w:r>
      <w:r>
        <w:t xml:space="preserve"> hold</w:t>
      </w:r>
      <w:r w:rsidRPr="006C750E">
        <w:t xml:space="preserve"> workshops for </w:t>
      </w:r>
      <w:r>
        <w:t>organisation</w:t>
      </w:r>
      <w:r w:rsidRPr="006C750E">
        <w:t xml:space="preserve"> managers and TAAP workers</w:t>
      </w:r>
      <w:r>
        <w:t xml:space="preserve"> before the commencement of the new model</w:t>
      </w:r>
      <w:r w:rsidRPr="006C750E">
        <w:t>.</w:t>
      </w:r>
    </w:p>
    <w:p w:rsidR="00CC7613" w:rsidRPr="00EA530C" w:rsidRDefault="00CC7613" w:rsidP="00CC7613">
      <w:pPr>
        <w:pStyle w:val="Heading3"/>
      </w:pPr>
      <w:bookmarkStart w:id="94" w:name="_Toc465155269"/>
      <w:bookmarkStart w:id="95" w:name="_Toc465156599"/>
      <w:bookmarkStart w:id="96" w:name="_Toc465156741"/>
      <w:bookmarkStart w:id="97" w:name="_Toc468805161"/>
      <w:bookmarkStart w:id="98" w:name="_Toc465155271"/>
      <w:bookmarkStart w:id="99" w:name="_Toc465156601"/>
      <w:bookmarkStart w:id="100" w:name="_Toc465156743"/>
      <w:r>
        <w:t>4.1 Service e</w:t>
      </w:r>
      <w:r w:rsidRPr="00EA530C">
        <w:t>ligibility</w:t>
      </w:r>
      <w:bookmarkEnd w:id="94"/>
      <w:bookmarkEnd w:id="95"/>
      <w:bookmarkEnd w:id="96"/>
      <w:r w:rsidRPr="00EA530C">
        <w:t xml:space="preserve"> </w:t>
      </w:r>
      <w:r>
        <w:t>and prioritisation</w:t>
      </w:r>
      <w:bookmarkEnd w:id="97"/>
    </w:p>
    <w:p w:rsidR="00CC7613" w:rsidRDefault="00CC7613" w:rsidP="00CC7613">
      <w:pPr>
        <w:pStyle w:val="ListBullet2"/>
        <w:numPr>
          <w:ilvl w:val="0"/>
          <w:numId w:val="0"/>
        </w:numPr>
      </w:pPr>
      <w:r>
        <w:t xml:space="preserve">Subject to the following exception, to be eligible for TAAP services under the </w:t>
      </w:r>
      <w:hyperlink r:id="rId13" w:history="1">
        <w:r w:rsidRPr="00273D00">
          <w:rPr>
            <w:rStyle w:val="Hyperlink"/>
          </w:rPr>
          <w:t>TAAP Service Delivery Model (Word, 295KB)</w:t>
        </w:r>
      </w:hyperlink>
      <w:r>
        <w:t xml:space="preserve"> (</w:t>
      </w:r>
      <w:r w:rsidRPr="00D73CA4">
        <w:t>https://www.consumer.vic.gov.au/library/forms/clubs-and-not-for-profits/grants/taap-service-delivery-model-2017-21.doc</w:t>
      </w:r>
      <w:r>
        <w:t>)</w:t>
      </w:r>
      <w:r w:rsidRPr="00570371">
        <w:t xml:space="preserve">, </w:t>
      </w:r>
      <w:r w:rsidRPr="006C750E">
        <w:t xml:space="preserve">tenants </w:t>
      </w:r>
      <w:r>
        <w:t>must be either financially disadvantaged or victims of family violence. T</w:t>
      </w:r>
      <w:r w:rsidRPr="00057916">
        <w:t>enant</w:t>
      </w:r>
      <w:r>
        <w:t xml:space="preserve">s who are not </w:t>
      </w:r>
      <w:r w:rsidRPr="00057916">
        <w:t>financial</w:t>
      </w:r>
      <w:r>
        <w:t>ly</w:t>
      </w:r>
      <w:r w:rsidRPr="00057916">
        <w:t xml:space="preserve"> disadvantage</w:t>
      </w:r>
      <w:r>
        <w:t xml:space="preserve">d </w:t>
      </w:r>
      <w:r w:rsidRPr="00057916">
        <w:t xml:space="preserve">or </w:t>
      </w:r>
      <w:r>
        <w:t>a victim of family violence may receive a maximum of one</w:t>
      </w:r>
      <w:r w:rsidRPr="00057916">
        <w:t xml:space="preserve"> hour of information and referral.</w:t>
      </w:r>
    </w:p>
    <w:p w:rsidR="00CC7613" w:rsidRDefault="00CC7613" w:rsidP="00CC7613">
      <w:pPr>
        <w:pStyle w:val="ListBullet"/>
      </w:pPr>
      <w:r>
        <w:t>Eligible cases are prioritised a</w:t>
      </w:r>
      <w:r w:rsidRPr="006C750E">
        <w:t>ccording to</w:t>
      </w:r>
      <w:r>
        <w:t xml:space="preserve"> the tenant’s personal circumstances and the urgency of the tenancy matter. If a matter is deemed urgent, it immediately becomes a ‘Priority’ matter, and the TAAP worker is required to contact the tenant within two business days.</w:t>
      </w:r>
    </w:p>
    <w:p w:rsidR="00CC7613" w:rsidRPr="00EA530C" w:rsidRDefault="00CC7613" w:rsidP="00CC7613">
      <w:pPr>
        <w:pStyle w:val="Heading3"/>
      </w:pPr>
      <w:bookmarkStart w:id="101" w:name="_Toc468805162"/>
      <w:r>
        <w:lastRenderedPageBreak/>
        <w:t>4.2 Service c</w:t>
      </w:r>
      <w:r w:rsidRPr="00EA530C">
        <w:t>overage</w:t>
      </w:r>
      <w:bookmarkEnd w:id="98"/>
      <w:bookmarkEnd w:id="99"/>
      <w:bookmarkEnd w:id="100"/>
      <w:bookmarkEnd w:id="101"/>
    </w:p>
    <w:p w:rsidR="00CC7613" w:rsidRPr="006C750E" w:rsidRDefault="00CC7613" w:rsidP="00CC7613">
      <w:pPr>
        <w:pStyle w:val="BodyText"/>
      </w:pPr>
      <w:r w:rsidRPr="004E41C1">
        <w:t>CAV intends to enter into one TAAP service agreement for each of the 17 DHHS service area</w:t>
      </w:r>
      <w:r>
        <w:t>s</w:t>
      </w:r>
      <w:r w:rsidRPr="004E41C1">
        <w:t>.</w:t>
      </w:r>
      <w:r>
        <w:t xml:space="preserve"> A local geographic presence is considered necessary</w:t>
      </w:r>
      <w:r w:rsidRPr="006C750E">
        <w:t xml:space="preserve"> to align </w:t>
      </w:r>
      <w:r>
        <w:t xml:space="preserve">TAAP </w:t>
      </w:r>
      <w:r w:rsidRPr="006C750E">
        <w:t xml:space="preserve">with other </w:t>
      </w:r>
      <w:r>
        <w:t>Government</w:t>
      </w:r>
      <w:r w:rsidRPr="006C750E">
        <w:t xml:space="preserve"> funded support services including housing, homelessness, family violence</w:t>
      </w:r>
      <w:r>
        <w:t>,</w:t>
      </w:r>
      <w:r w:rsidRPr="006C750E">
        <w:t xml:space="preserve"> and the CAV funded Financial Counselling Program.</w:t>
      </w:r>
    </w:p>
    <w:p w:rsidR="00CC7613" w:rsidRPr="006C750E" w:rsidRDefault="00CC7613" w:rsidP="00CC7613">
      <w:pPr>
        <w:pStyle w:val="BodyText"/>
      </w:pPr>
      <w:r>
        <w:t>TAAP</w:t>
      </w:r>
      <w:r w:rsidRPr="006C750E">
        <w:t xml:space="preserve"> </w:t>
      </w:r>
      <w:r>
        <w:t>organisations</w:t>
      </w:r>
      <w:r w:rsidRPr="006C750E">
        <w:t xml:space="preserve"> will need to have established referral pathways with </w:t>
      </w:r>
      <w:r>
        <w:t>other</w:t>
      </w:r>
      <w:r w:rsidRPr="006C750E">
        <w:t xml:space="preserve"> local </w:t>
      </w:r>
      <w:r>
        <w:t xml:space="preserve">organisations that also provide </w:t>
      </w:r>
      <w:r w:rsidRPr="006C750E">
        <w:t xml:space="preserve">support to </w:t>
      </w:r>
      <w:r>
        <w:t>disadvantaged</w:t>
      </w:r>
      <w:r w:rsidRPr="006C750E">
        <w:t xml:space="preserve"> Victorian tenants in the service area</w:t>
      </w:r>
      <w:r>
        <w:t>,</w:t>
      </w:r>
      <w:r w:rsidRPr="006C750E">
        <w:t xml:space="preserve"> including SHASP</w:t>
      </w:r>
      <w:r>
        <w:t xml:space="preserve"> organisations</w:t>
      </w:r>
      <w:r w:rsidRPr="006C750E">
        <w:t>, Victorian Legal Aid offices</w:t>
      </w:r>
      <w:r>
        <w:t>,</w:t>
      </w:r>
      <w:r w:rsidRPr="006C750E">
        <w:t xml:space="preserve"> and community legal centres.</w:t>
      </w:r>
    </w:p>
    <w:p w:rsidR="00CC7613" w:rsidRPr="006C750E" w:rsidRDefault="00CC7613" w:rsidP="00CC7613">
      <w:pPr>
        <w:pStyle w:val="BodyText"/>
      </w:pPr>
      <w:r>
        <w:t>TAAP</w:t>
      </w:r>
      <w:r w:rsidRPr="006C750E">
        <w:t xml:space="preserve"> </w:t>
      </w:r>
      <w:r>
        <w:t>organisations</w:t>
      </w:r>
      <w:r w:rsidRPr="006C750E">
        <w:t xml:space="preserve"> will be required to respond to tenants and residents in the local government areas within the DHHS Ser</w:t>
      </w:r>
      <w:r>
        <w:t>vice Area they are applying for.</w:t>
      </w:r>
    </w:p>
    <w:p w:rsidR="00CC7613" w:rsidRPr="00EA530C" w:rsidRDefault="00CC7613" w:rsidP="00CC7613">
      <w:pPr>
        <w:pStyle w:val="Heading2"/>
      </w:pPr>
      <w:bookmarkStart w:id="102" w:name="_Toc465155273"/>
      <w:bookmarkStart w:id="103" w:name="_Toc465156603"/>
      <w:bookmarkStart w:id="104" w:name="_Toc465156745"/>
      <w:bookmarkStart w:id="105" w:name="_Toc468805163"/>
      <w:r>
        <w:t xml:space="preserve">5. </w:t>
      </w:r>
      <w:r w:rsidRPr="00EA530C">
        <w:t>Funding</w:t>
      </w:r>
      <w:bookmarkEnd w:id="102"/>
      <w:bookmarkEnd w:id="103"/>
      <w:bookmarkEnd w:id="104"/>
      <w:bookmarkEnd w:id="105"/>
    </w:p>
    <w:p w:rsidR="00CC7613" w:rsidRPr="00EA530C" w:rsidRDefault="00CC7613" w:rsidP="00CC7613">
      <w:pPr>
        <w:pStyle w:val="Heading3"/>
      </w:pPr>
      <w:bookmarkStart w:id="106" w:name="_Toc465155274"/>
      <w:bookmarkStart w:id="107" w:name="_Toc465156604"/>
      <w:bookmarkStart w:id="108" w:name="_Toc465156746"/>
      <w:bookmarkStart w:id="109" w:name="_Toc468805164"/>
      <w:r>
        <w:t xml:space="preserve">5.1 </w:t>
      </w:r>
      <w:r w:rsidRPr="00EA530C">
        <w:t>Funding distribution</w:t>
      </w:r>
      <w:bookmarkEnd w:id="106"/>
      <w:bookmarkEnd w:id="107"/>
      <w:bookmarkEnd w:id="108"/>
      <w:bookmarkEnd w:id="109"/>
    </w:p>
    <w:p w:rsidR="00CC7613" w:rsidRDefault="00CC7613" w:rsidP="00CC7613">
      <w:pPr>
        <w:pStyle w:val="BodyText"/>
      </w:pPr>
      <w:r w:rsidRPr="00C52AB4">
        <w:t xml:space="preserve">Funding under the </w:t>
      </w:r>
      <w:r>
        <w:t>TAAP</w:t>
      </w:r>
      <w:r w:rsidRPr="00C52AB4">
        <w:t xml:space="preserve"> is provided for the recurrent operational costs of services. Funding is not provided for capital costs. </w:t>
      </w:r>
      <w:r>
        <w:t>TAAP</w:t>
      </w:r>
      <w:r w:rsidRPr="00C52AB4">
        <w:t xml:space="preserve"> funds may not be used to provide direct financial assistance to clients.</w:t>
      </w:r>
    </w:p>
    <w:p w:rsidR="00CC7613" w:rsidRDefault="00CC7613" w:rsidP="00CC7613">
      <w:pPr>
        <w:pStyle w:val="BodyText"/>
      </w:pPr>
      <w:r>
        <w:t xml:space="preserve">The </w:t>
      </w:r>
      <w:r w:rsidRPr="006C750E">
        <w:t xml:space="preserve">funding </w:t>
      </w:r>
      <w:r>
        <w:t>is to be allocated</w:t>
      </w:r>
      <w:r w:rsidRPr="006C750E">
        <w:t xml:space="preserve"> across</w:t>
      </w:r>
      <w:r>
        <w:t xml:space="preserve"> the DHHS service areas</w:t>
      </w:r>
      <w:r w:rsidRPr="006C750E">
        <w:t xml:space="preserve"> on the basis of need</w:t>
      </w:r>
      <w:r>
        <w:t xml:space="preserve"> as determined with reference to:</w:t>
      </w:r>
    </w:p>
    <w:p w:rsidR="00CC7613" w:rsidRPr="00D92028" w:rsidRDefault="00CC7613" w:rsidP="00CC7613">
      <w:pPr>
        <w:pStyle w:val="ListBullet"/>
      </w:pPr>
      <w:r w:rsidRPr="00D92028">
        <w:t>Australian Bureau of Statistics (ABS) data on the number of private rental dwellings within each service area, and</w:t>
      </w:r>
    </w:p>
    <w:p w:rsidR="00CC7613" w:rsidRPr="00B84247" w:rsidRDefault="00CC7613" w:rsidP="00CC7613">
      <w:pPr>
        <w:pStyle w:val="ListBullet"/>
      </w:pPr>
      <w:r w:rsidRPr="00B84247">
        <w:t>ABS Socio-Economic Indexes for Areas (SEIFA) data, specifically the Index of Relative Socio-economic Disadvantage (suburbs classified as decile 1 or 2).</w:t>
      </w:r>
    </w:p>
    <w:p w:rsidR="00CC7613" w:rsidRPr="004B36F2" w:rsidRDefault="00CC7613" w:rsidP="00CC7613">
      <w:pPr>
        <w:pStyle w:val="ListBullet2"/>
        <w:numPr>
          <w:ilvl w:val="0"/>
          <w:numId w:val="0"/>
        </w:numPr>
      </w:pPr>
      <w:r w:rsidRPr="006C750E">
        <w:t xml:space="preserve">The funding for each </w:t>
      </w:r>
      <w:r>
        <w:t xml:space="preserve">DHHS </w:t>
      </w:r>
      <w:r w:rsidRPr="006C750E">
        <w:t xml:space="preserve">service area is provided as a number of </w:t>
      </w:r>
      <w:r>
        <w:t>FTE positions as shown in</w:t>
      </w:r>
      <w:r w:rsidRPr="00081FAA">
        <w:t xml:space="preserve"> </w:t>
      </w:r>
      <w:r w:rsidRPr="00F149A1">
        <w:t xml:space="preserve">the </w:t>
      </w:r>
      <w:hyperlink r:id="rId14" w:history="1">
        <w:r w:rsidRPr="00273D00">
          <w:rPr>
            <w:rStyle w:val="Hyperlink"/>
          </w:rPr>
          <w:t>TAAP FTE and Funding Allocation 2017-18 (Word, 106KB)</w:t>
        </w:r>
      </w:hyperlink>
      <w:r>
        <w:t xml:space="preserve"> (</w:t>
      </w:r>
      <w:r w:rsidRPr="00D73CA4">
        <w:t>https://www.consumer.vic.gov.au/library/forms/clubs-and-not-for-profits/grants/taap-fte-allocation-2017-18.doc</w:t>
      </w:r>
      <w:r>
        <w:t>)</w:t>
      </w:r>
      <w:r w:rsidRPr="00570371">
        <w:t>.</w:t>
      </w:r>
    </w:p>
    <w:p w:rsidR="00CC7613" w:rsidRPr="00592270" w:rsidRDefault="00CC7613" w:rsidP="00CC7613">
      <w:pPr>
        <w:pStyle w:val="Heading3"/>
      </w:pPr>
      <w:bookmarkStart w:id="110" w:name="_Toc465155275"/>
      <w:bookmarkStart w:id="111" w:name="_Toc465156605"/>
      <w:bookmarkStart w:id="112" w:name="_Toc465156747"/>
      <w:bookmarkStart w:id="113" w:name="_Toc468805165"/>
      <w:r>
        <w:t>5.2 Funding m</w:t>
      </w:r>
      <w:r w:rsidRPr="00EA530C">
        <w:t>odel</w:t>
      </w:r>
      <w:bookmarkEnd w:id="110"/>
      <w:bookmarkEnd w:id="111"/>
      <w:bookmarkEnd w:id="112"/>
      <w:bookmarkEnd w:id="113"/>
    </w:p>
    <w:p w:rsidR="00CC7613" w:rsidRPr="006C750E" w:rsidRDefault="00CC7613" w:rsidP="00CC7613">
      <w:pPr>
        <w:pStyle w:val="BodyText"/>
      </w:pPr>
      <w:r w:rsidRPr="006C750E">
        <w:t>The base rate for a FTE TAAP worker in 2017-18 is $119,306 inclusive of salary, employee costs, management and supervision, and Equal Remuneration Order (ERO) supplementation under the Social, Community, Home Care and Disability Services (SCHCADS) Industry Award.</w:t>
      </w:r>
    </w:p>
    <w:p w:rsidR="00CC7613" w:rsidRPr="006C750E" w:rsidRDefault="00CC7613" w:rsidP="00CC7613">
      <w:pPr>
        <w:pStyle w:val="BodyText"/>
      </w:pPr>
      <w:r w:rsidRPr="006C750E">
        <w:t xml:space="preserve">Funding in subsequent years will be indexed at the rate agreed between DHHS and the Victorian Council of Social Services (currently </w:t>
      </w:r>
      <w:r>
        <w:t>two per cent)</w:t>
      </w:r>
      <w:r w:rsidRPr="006C750E">
        <w:t xml:space="preserve"> and increased by the applicable ERO supplementation component o</w:t>
      </w:r>
      <w:r>
        <w:t>f</w:t>
      </w:r>
      <w:r w:rsidRPr="006C750E">
        <w:t xml:space="preserve"> the SCHCADS Award.</w:t>
      </w:r>
    </w:p>
    <w:p w:rsidR="00CC7613" w:rsidRPr="006C750E" w:rsidRDefault="00CC7613" w:rsidP="00CC7613">
      <w:pPr>
        <w:pStyle w:val="BodyText"/>
      </w:pPr>
      <w:r w:rsidRPr="006C750E">
        <w:t>The TAAP funding model is based on 1</w:t>
      </w:r>
      <w:r>
        <w:t>,</w:t>
      </w:r>
      <w:r w:rsidRPr="006C750E">
        <w:t>301 service hours per FTE per year as shown in Table 1 below.</w:t>
      </w:r>
    </w:p>
    <w:p w:rsidR="00CC7613" w:rsidRDefault="00CC7613" w:rsidP="00CC7613">
      <w:pPr>
        <w:spacing w:before="0" w:after="0"/>
        <w:rPr>
          <w:rFonts w:cs="Arial"/>
          <w:b/>
          <w:bCs/>
          <w:sz w:val="24"/>
          <w:szCs w:val="22"/>
        </w:rPr>
      </w:pPr>
      <w:bookmarkStart w:id="114" w:name="_Toc465155276"/>
      <w:bookmarkStart w:id="115" w:name="_Toc465156606"/>
      <w:bookmarkStart w:id="116" w:name="_Toc465156748"/>
      <w:r>
        <w:br w:type="page"/>
      </w:r>
    </w:p>
    <w:p w:rsidR="00CC7613" w:rsidRPr="00E62E5C" w:rsidRDefault="00CC7613" w:rsidP="00CC7613">
      <w:pPr>
        <w:pStyle w:val="TableHeading"/>
      </w:pPr>
      <w:r w:rsidRPr="00E62E5C">
        <w:lastRenderedPageBreak/>
        <w:t xml:space="preserve">Table 1 – Service </w:t>
      </w:r>
      <w:r>
        <w:t>h</w:t>
      </w:r>
      <w:r w:rsidRPr="00E62E5C">
        <w:t xml:space="preserve">ours </w:t>
      </w:r>
      <w:r>
        <w:t>b</w:t>
      </w:r>
      <w:r w:rsidRPr="00E62E5C">
        <w:t>reakdown</w:t>
      </w:r>
      <w:bookmarkEnd w:id="114"/>
      <w:bookmarkEnd w:id="115"/>
      <w:bookmarkEnd w:id="116"/>
    </w:p>
    <w:tbl>
      <w:tblPr>
        <w:tblW w:w="0" w:type="auto"/>
        <w:tblInd w:w="431" w:type="dxa"/>
        <w:tblLayout w:type="fixed"/>
        <w:tblCellMar>
          <w:left w:w="0" w:type="dxa"/>
          <w:right w:w="0" w:type="dxa"/>
        </w:tblCellMar>
        <w:tblLook w:val="0000" w:firstRow="0" w:lastRow="0" w:firstColumn="0" w:lastColumn="0" w:noHBand="0" w:noVBand="0"/>
      </w:tblPr>
      <w:tblGrid>
        <w:gridCol w:w="6237"/>
        <w:gridCol w:w="851"/>
        <w:gridCol w:w="1552"/>
      </w:tblGrid>
      <w:tr w:rsidR="00CC7613" w:rsidRPr="00AF7250" w:rsidTr="00011DAD">
        <w:trPr>
          <w:cantSplit/>
          <w:tblHeader/>
        </w:trPr>
        <w:tc>
          <w:tcPr>
            <w:tcW w:w="62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613" w:rsidRPr="00AF7250" w:rsidRDefault="00CC7613" w:rsidP="00011DAD">
            <w:pPr>
              <w:pStyle w:val="TableText"/>
              <w:rPr>
                <w:b/>
              </w:rPr>
            </w:pPr>
            <w:r w:rsidRPr="00AF7250">
              <w:rPr>
                <w:b/>
              </w:rPr>
              <w:t>Item</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613" w:rsidRPr="00AF7250" w:rsidRDefault="00CC7613" w:rsidP="00011DAD">
            <w:pPr>
              <w:pStyle w:val="TableText"/>
              <w:rPr>
                <w:b/>
              </w:rPr>
            </w:pPr>
            <w:r w:rsidRPr="00AF7250">
              <w:rPr>
                <w:b/>
              </w:rPr>
              <w:t>Days</w:t>
            </w:r>
          </w:p>
        </w:tc>
        <w:tc>
          <w:tcPr>
            <w:tcW w:w="1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613" w:rsidRPr="00AF7250" w:rsidRDefault="00CC7613" w:rsidP="00011DAD">
            <w:pPr>
              <w:pStyle w:val="TableText"/>
              <w:rPr>
                <w:b/>
              </w:rPr>
            </w:pPr>
            <w:r w:rsidRPr="00AF7250">
              <w:rPr>
                <w:b/>
              </w:rPr>
              <w:t>Days/hours</w:t>
            </w:r>
          </w:p>
        </w:tc>
      </w:tr>
      <w:tr w:rsidR="00CC7613" w:rsidRPr="00AF7250" w:rsidTr="00011DAD">
        <w:trPr>
          <w:cantSplit/>
        </w:trPr>
        <w:tc>
          <w:tcPr>
            <w:tcW w:w="6237" w:type="dxa"/>
            <w:tcBorders>
              <w:top w:val="single" w:sz="4" w:space="0" w:color="000000"/>
              <w:left w:val="single" w:sz="4" w:space="0" w:color="000000"/>
              <w:bottom w:val="single" w:sz="4" w:space="0" w:color="000000"/>
              <w:right w:val="single" w:sz="4" w:space="0" w:color="000000"/>
            </w:tcBorders>
            <w:vAlign w:val="center"/>
          </w:tcPr>
          <w:p w:rsidR="00CC7613" w:rsidRPr="00AF7250" w:rsidRDefault="00CC7613" w:rsidP="00011DAD">
            <w:pPr>
              <w:pStyle w:val="TableText"/>
              <w:rPr>
                <w:b/>
                <w:bCs/>
              </w:rPr>
            </w:pPr>
            <w:r w:rsidRPr="00AF7250">
              <w:rPr>
                <w:b/>
                <w:bCs/>
              </w:rPr>
              <w:t>Days per year</w:t>
            </w:r>
          </w:p>
        </w:tc>
        <w:tc>
          <w:tcPr>
            <w:tcW w:w="851" w:type="dxa"/>
            <w:tcBorders>
              <w:top w:val="single" w:sz="4" w:space="0" w:color="000000"/>
              <w:left w:val="single" w:sz="4" w:space="0" w:color="000000"/>
              <w:bottom w:val="single" w:sz="4" w:space="0" w:color="000000"/>
              <w:right w:val="single" w:sz="4" w:space="0" w:color="000000"/>
            </w:tcBorders>
            <w:vAlign w:val="center"/>
          </w:tcPr>
          <w:p w:rsidR="00CC7613" w:rsidRPr="00AF7250" w:rsidRDefault="00CC7613" w:rsidP="00011DAD">
            <w:pPr>
              <w:pStyle w:val="TableText"/>
              <w:rPr>
                <w:b/>
                <w:bCs/>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CC7613" w:rsidRPr="00AF7250" w:rsidRDefault="00CC7613" w:rsidP="00011DAD">
            <w:pPr>
              <w:pStyle w:val="TableText"/>
              <w:jc w:val="right"/>
              <w:rPr>
                <w:b/>
                <w:bCs/>
              </w:rPr>
            </w:pPr>
            <w:r w:rsidRPr="00AF7250">
              <w:rPr>
                <w:b/>
                <w:bCs/>
              </w:rPr>
              <w:t>365 days</w:t>
            </w:r>
          </w:p>
        </w:tc>
      </w:tr>
      <w:tr w:rsidR="00CC7613" w:rsidRPr="0090486F" w:rsidTr="00011DAD">
        <w:trPr>
          <w:cantSplit/>
        </w:trPr>
        <w:tc>
          <w:tcPr>
            <w:tcW w:w="6237"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pPr>
            <w:r w:rsidRPr="0090486F">
              <w:t>Less adjustments:</w:t>
            </w:r>
          </w:p>
        </w:tc>
        <w:tc>
          <w:tcPr>
            <w:tcW w:w="851"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pPr>
          </w:p>
        </w:tc>
        <w:tc>
          <w:tcPr>
            <w:tcW w:w="1552"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p>
        </w:tc>
      </w:tr>
      <w:tr w:rsidR="00CC7613" w:rsidRPr="0090486F" w:rsidTr="00011DAD">
        <w:trPr>
          <w:cantSplit/>
        </w:trPr>
        <w:tc>
          <w:tcPr>
            <w:tcW w:w="6237"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ind w:left="557"/>
            </w:pPr>
            <w:r w:rsidRPr="0090486F">
              <w:t>Weekends</w:t>
            </w:r>
          </w:p>
        </w:tc>
        <w:tc>
          <w:tcPr>
            <w:tcW w:w="851"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r w:rsidRPr="0090486F">
              <w:t>-104</w:t>
            </w:r>
          </w:p>
        </w:tc>
        <w:tc>
          <w:tcPr>
            <w:tcW w:w="1552"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p>
        </w:tc>
      </w:tr>
      <w:tr w:rsidR="00CC7613" w:rsidRPr="0090486F" w:rsidTr="00011DAD">
        <w:trPr>
          <w:cantSplit/>
        </w:trPr>
        <w:tc>
          <w:tcPr>
            <w:tcW w:w="6237"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ind w:left="557"/>
            </w:pPr>
            <w:r w:rsidRPr="0090486F">
              <w:t>Public holidays</w:t>
            </w:r>
          </w:p>
        </w:tc>
        <w:tc>
          <w:tcPr>
            <w:tcW w:w="851"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r w:rsidRPr="0090486F">
              <w:t>-10</w:t>
            </w:r>
          </w:p>
        </w:tc>
        <w:tc>
          <w:tcPr>
            <w:tcW w:w="1552"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p>
        </w:tc>
      </w:tr>
      <w:tr w:rsidR="00CC7613" w:rsidRPr="0090486F" w:rsidTr="00011DAD">
        <w:trPr>
          <w:cantSplit/>
        </w:trPr>
        <w:tc>
          <w:tcPr>
            <w:tcW w:w="6237"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ind w:left="557"/>
            </w:pPr>
            <w:r w:rsidRPr="0090486F">
              <w:t>Recreation leave</w:t>
            </w:r>
          </w:p>
        </w:tc>
        <w:tc>
          <w:tcPr>
            <w:tcW w:w="851"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r w:rsidRPr="0090486F">
              <w:t>-20</w:t>
            </w:r>
          </w:p>
        </w:tc>
        <w:tc>
          <w:tcPr>
            <w:tcW w:w="1552"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p>
        </w:tc>
      </w:tr>
      <w:tr w:rsidR="00CC7613" w:rsidRPr="0090486F" w:rsidTr="00011DAD">
        <w:trPr>
          <w:cantSplit/>
        </w:trPr>
        <w:tc>
          <w:tcPr>
            <w:tcW w:w="6237"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ind w:left="557"/>
            </w:pPr>
            <w:r w:rsidRPr="0090486F">
              <w:t>Sick and carer leave</w:t>
            </w:r>
          </w:p>
        </w:tc>
        <w:tc>
          <w:tcPr>
            <w:tcW w:w="851"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r w:rsidRPr="0090486F">
              <w:t>-10</w:t>
            </w:r>
          </w:p>
        </w:tc>
        <w:tc>
          <w:tcPr>
            <w:tcW w:w="1552"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p>
        </w:tc>
      </w:tr>
      <w:tr w:rsidR="00CC7613" w:rsidRPr="0090486F" w:rsidTr="00011DAD">
        <w:trPr>
          <w:cantSplit/>
        </w:trPr>
        <w:tc>
          <w:tcPr>
            <w:tcW w:w="6237"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ind w:left="557"/>
            </w:pPr>
            <w:r w:rsidRPr="0090486F">
              <w:t>Training</w:t>
            </w:r>
            <w:r>
              <w:t xml:space="preserve"> and professional development</w:t>
            </w:r>
            <w:r w:rsidRPr="0090486F">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r w:rsidRPr="0090486F">
              <w:t>-7</w:t>
            </w:r>
          </w:p>
        </w:tc>
        <w:tc>
          <w:tcPr>
            <w:tcW w:w="1552"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p>
        </w:tc>
      </w:tr>
      <w:tr w:rsidR="00CC7613" w:rsidRPr="00AF7250" w:rsidTr="00011DAD">
        <w:trPr>
          <w:cantSplit/>
        </w:trPr>
        <w:tc>
          <w:tcPr>
            <w:tcW w:w="6237" w:type="dxa"/>
            <w:tcBorders>
              <w:top w:val="single" w:sz="4" w:space="0" w:color="000000"/>
              <w:left w:val="single" w:sz="4" w:space="0" w:color="000000"/>
              <w:bottom w:val="single" w:sz="4" w:space="0" w:color="000000"/>
              <w:right w:val="single" w:sz="4" w:space="0" w:color="000000"/>
            </w:tcBorders>
            <w:vAlign w:val="center"/>
          </w:tcPr>
          <w:p w:rsidR="00CC7613" w:rsidRPr="00AF7250" w:rsidRDefault="00CC7613" w:rsidP="00011DAD">
            <w:pPr>
              <w:pStyle w:val="TableText"/>
              <w:rPr>
                <w:b/>
                <w:bCs/>
              </w:rPr>
            </w:pPr>
            <w:r w:rsidRPr="00AF7250">
              <w:rPr>
                <w:b/>
                <w:bCs/>
              </w:rPr>
              <w:t>Net work days per year</w:t>
            </w:r>
          </w:p>
        </w:tc>
        <w:tc>
          <w:tcPr>
            <w:tcW w:w="851" w:type="dxa"/>
            <w:tcBorders>
              <w:top w:val="single" w:sz="4" w:space="0" w:color="000000"/>
              <w:left w:val="single" w:sz="4" w:space="0" w:color="000000"/>
              <w:bottom w:val="single" w:sz="4" w:space="0" w:color="000000"/>
              <w:right w:val="single" w:sz="4" w:space="0" w:color="000000"/>
            </w:tcBorders>
            <w:vAlign w:val="center"/>
          </w:tcPr>
          <w:p w:rsidR="00CC7613" w:rsidRPr="00AF7250" w:rsidRDefault="00CC7613" w:rsidP="00011DAD">
            <w:pPr>
              <w:pStyle w:val="TableText"/>
              <w:rPr>
                <w:b/>
                <w:bCs/>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CC7613" w:rsidRPr="00AF7250" w:rsidRDefault="00CC7613" w:rsidP="00011DAD">
            <w:pPr>
              <w:pStyle w:val="TableText"/>
              <w:jc w:val="right"/>
              <w:rPr>
                <w:b/>
                <w:bCs/>
              </w:rPr>
            </w:pPr>
            <w:r w:rsidRPr="00AF7250">
              <w:rPr>
                <w:b/>
                <w:bCs/>
              </w:rPr>
              <w:t>214 days</w:t>
            </w:r>
          </w:p>
        </w:tc>
      </w:tr>
      <w:tr w:rsidR="00CC7613" w:rsidRPr="0090486F" w:rsidTr="00011DAD">
        <w:trPr>
          <w:cantSplit/>
        </w:trPr>
        <w:tc>
          <w:tcPr>
            <w:tcW w:w="6237"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ind w:left="557"/>
            </w:pPr>
            <w:r w:rsidRPr="0090486F">
              <w:t>Work hours per year at 7.6 hours per day (38 hour week)</w:t>
            </w:r>
          </w:p>
        </w:tc>
        <w:tc>
          <w:tcPr>
            <w:tcW w:w="851"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pPr>
          </w:p>
        </w:tc>
        <w:tc>
          <w:tcPr>
            <w:tcW w:w="1552"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r w:rsidRPr="0090486F">
              <w:t>1</w:t>
            </w:r>
            <w:r>
              <w:t>,</w:t>
            </w:r>
            <w:r w:rsidRPr="0090486F">
              <w:t>626 hours</w:t>
            </w:r>
          </w:p>
        </w:tc>
      </w:tr>
      <w:tr w:rsidR="00CC7613" w:rsidRPr="0090486F" w:rsidTr="00011DAD">
        <w:trPr>
          <w:cantSplit/>
          <w:trHeight w:val="441"/>
        </w:trPr>
        <w:tc>
          <w:tcPr>
            <w:tcW w:w="6237"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ind w:left="557"/>
            </w:pPr>
            <w:r w:rsidRPr="0090486F">
              <w:t>Less 20% allowance for time not capable of being attributed to specific cases and related travel</w:t>
            </w:r>
            <w:r>
              <w:t>. This time allocation includes the data and other reporting requirement.</w:t>
            </w:r>
            <w:r w:rsidRPr="0090486F">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pPr>
          </w:p>
        </w:tc>
        <w:tc>
          <w:tcPr>
            <w:tcW w:w="1552"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jc w:val="right"/>
            </w:pPr>
            <w:r w:rsidRPr="0090486F">
              <w:t>-325 hours</w:t>
            </w:r>
          </w:p>
        </w:tc>
      </w:tr>
      <w:tr w:rsidR="00CC7613" w:rsidRPr="0090486F" w:rsidTr="00011DAD">
        <w:trPr>
          <w:cantSplit/>
          <w:trHeight w:val="70"/>
        </w:trPr>
        <w:tc>
          <w:tcPr>
            <w:tcW w:w="6237" w:type="dxa"/>
            <w:tcBorders>
              <w:top w:val="single" w:sz="4" w:space="0" w:color="000000"/>
              <w:left w:val="single" w:sz="4" w:space="0" w:color="000000"/>
              <w:bottom w:val="single" w:sz="4" w:space="0" w:color="000000"/>
              <w:right w:val="single" w:sz="4" w:space="0" w:color="000000"/>
            </w:tcBorders>
            <w:vAlign w:val="center"/>
          </w:tcPr>
          <w:p w:rsidR="00CC7613" w:rsidRPr="00AF7250" w:rsidRDefault="00CC7613" w:rsidP="00011DAD">
            <w:pPr>
              <w:pStyle w:val="TableText"/>
              <w:rPr>
                <w:b/>
              </w:rPr>
            </w:pPr>
            <w:r w:rsidRPr="00AF7250">
              <w:rPr>
                <w:b/>
                <w:bCs/>
              </w:rPr>
              <w:t>Total deliverable service hours per year per FTE</w:t>
            </w:r>
            <w:r>
              <w:rPr>
                <w:b/>
                <w:bCs/>
              </w:rPr>
              <w:t xml:space="preserve"> </w:t>
            </w:r>
            <w:r>
              <w:rPr>
                <w:b/>
              </w:rPr>
              <w:t>i</w:t>
            </w:r>
            <w:r w:rsidRPr="00AF7250">
              <w:rPr>
                <w:b/>
              </w:rPr>
              <w:t xml:space="preserve">ncludes: </w:t>
            </w:r>
          </w:p>
          <w:p w:rsidR="00CC7613" w:rsidRDefault="00CC7613" w:rsidP="00011DAD">
            <w:pPr>
              <w:pStyle w:val="ListBullet"/>
            </w:pPr>
            <w:r>
              <w:t>casework</w:t>
            </w:r>
          </w:p>
          <w:p w:rsidR="00CC7613" w:rsidRPr="0090486F" w:rsidRDefault="00CC7613" w:rsidP="00011DAD">
            <w:pPr>
              <w:pStyle w:val="ListBullet"/>
            </w:pPr>
            <w:r w:rsidRPr="0090486F">
              <w:t>recording of client data</w:t>
            </w:r>
          </w:p>
          <w:p w:rsidR="00CC7613" w:rsidRPr="0090486F" w:rsidRDefault="00CC7613" w:rsidP="00011DAD">
            <w:pPr>
              <w:pStyle w:val="ListBullet"/>
            </w:pPr>
            <w:r w:rsidRPr="0090486F">
              <w:t>preparation of case notes</w:t>
            </w:r>
          </w:p>
          <w:p w:rsidR="00CC7613" w:rsidRPr="0090486F" w:rsidRDefault="00CC7613" w:rsidP="00011DAD">
            <w:pPr>
              <w:pStyle w:val="ListBullet"/>
              <w:rPr>
                <w:bCs/>
              </w:rPr>
            </w:pPr>
            <w:r w:rsidRPr="0090486F">
              <w:t>maximum outreach hours of 20% (optional)</w:t>
            </w:r>
          </w:p>
        </w:tc>
        <w:tc>
          <w:tcPr>
            <w:tcW w:w="851" w:type="dxa"/>
            <w:tcBorders>
              <w:top w:val="single" w:sz="4" w:space="0" w:color="000000"/>
              <w:left w:val="single" w:sz="4" w:space="0" w:color="000000"/>
              <w:bottom w:val="single" w:sz="4" w:space="0" w:color="000000"/>
              <w:right w:val="single" w:sz="4" w:space="0" w:color="000000"/>
            </w:tcBorders>
            <w:vAlign w:val="center"/>
          </w:tcPr>
          <w:p w:rsidR="00CC7613" w:rsidRPr="0090486F" w:rsidRDefault="00CC7613" w:rsidP="00011DAD">
            <w:pPr>
              <w:pStyle w:val="TableText"/>
              <w:rPr>
                <w:bCs/>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CC7613" w:rsidRPr="00AF7250" w:rsidRDefault="00CC7613" w:rsidP="00011DAD">
            <w:pPr>
              <w:pStyle w:val="TableText"/>
              <w:jc w:val="right"/>
              <w:rPr>
                <w:b/>
                <w:bCs/>
              </w:rPr>
            </w:pPr>
            <w:r w:rsidRPr="00AF7250">
              <w:rPr>
                <w:b/>
                <w:bCs/>
              </w:rPr>
              <w:t>1,301 hours</w:t>
            </w:r>
          </w:p>
        </w:tc>
      </w:tr>
    </w:tbl>
    <w:p w:rsidR="00CC7613" w:rsidRPr="00433E01" w:rsidRDefault="00CC7613" w:rsidP="00CC7613">
      <w:pPr>
        <w:pStyle w:val="Heading3"/>
      </w:pPr>
      <w:bookmarkStart w:id="117" w:name="_Toc465155277"/>
      <w:bookmarkStart w:id="118" w:name="_Toc465156607"/>
      <w:bookmarkStart w:id="119" w:name="_Toc465156749"/>
      <w:bookmarkStart w:id="120" w:name="_Toc468805166"/>
      <w:r>
        <w:t xml:space="preserve">5.3 </w:t>
      </w:r>
      <w:r w:rsidRPr="00433E01">
        <w:t>Travel</w:t>
      </w:r>
      <w:bookmarkEnd w:id="117"/>
      <w:bookmarkEnd w:id="118"/>
      <w:bookmarkEnd w:id="119"/>
      <w:bookmarkEnd w:id="120"/>
    </w:p>
    <w:p w:rsidR="00CC7613" w:rsidRPr="006C750E" w:rsidRDefault="00CC7613" w:rsidP="00CC7613">
      <w:pPr>
        <w:pStyle w:val="BodyText"/>
      </w:pPr>
      <w:r w:rsidRPr="006C750E">
        <w:t xml:space="preserve">TAAP </w:t>
      </w:r>
      <w:r>
        <w:t>organisations</w:t>
      </w:r>
      <w:r w:rsidRPr="006C750E">
        <w:t xml:space="preserve"> will </w:t>
      </w:r>
      <w:r>
        <w:t>be able</w:t>
      </w:r>
      <w:r w:rsidRPr="006C750E">
        <w:t xml:space="preserve"> to claim reimbursement for travel expenses for the following activities:</w:t>
      </w:r>
    </w:p>
    <w:p w:rsidR="00CC7613" w:rsidRPr="006C750E" w:rsidRDefault="00CC7613" w:rsidP="00CC7613">
      <w:pPr>
        <w:pStyle w:val="ListBullet"/>
      </w:pPr>
      <w:r w:rsidRPr="006C750E">
        <w:t>Travel to and from VCAT</w:t>
      </w:r>
      <w:r>
        <w:t xml:space="preserve"> venues for a tenant’s hearings</w:t>
      </w:r>
    </w:p>
    <w:p w:rsidR="00CC7613" w:rsidRPr="006C750E" w:rsidRDefault="00CC7613" w:rsidP="00CC7613">
      <w:pPr>
        <w:pStyle w:val="ListBullet"/>
      </w:pPr>
      <w:r w:rsidRPr="006C750E">
        <w:t xml:space="preserve">Travel to and from outpost locations for provision of TAAP </w:t>
      </w:r>
      <w:r>
        <w:t>services</w:t>
      </w:r>
    </w:p>
    <w:p w:rsidR="00CC7613" w:rsidRPr="006C750E" w:rsidRDefault="00CC7613" w:rsidP="00CC7613">
      <w:pPr>
        <w:pStyle w:val="ListBullet"/>
      </w:pPr>
      <w:r w:rsidRPr="006C750E">
        <w:t>Travel for outreach services</w:t>
      </w:r>
      <w:r>
        <w:t>, and</w:t>
      </w:r>
    </w:p>
    <w:p w:rsidR="00CC7613" w:rsidRPr="006C750E" w:rsidRDefault="00CC7613" w:rsidP="00CC7613">
      <w:pPr>
        <w:pStyle w:val="ListBullet"/>
      </w:pPr>
      <w:r w:rsidRPr="006C750E">
        <w:t>Travel to and from professional development sessions.</w:t>
      </w:r>
    </w:p>
    <w:p w:rsidR="00CC7613" w:rsidRDefault="00CC7613" w:rsidP="00CC7613">
      <w:pPr>
        <w:spacing w:before="0" w:after="0"/>
        <w:rPr>
          <w:rFonts w:cs="Arial"/>
          <w:sz w:val="24"/>
          <w:szCs w:val="18"/>
        </w:rPr>
      </w:pPr>
      <w:r>
        <w:br w:type="page"/>
      </w:r>
    </w:p>
    <w:p w:rsidR="00CC7613" w:rsidRPr="006C750E" w:rsidRDefault="00CC7613" w:rsidP="00CC7613">
      <w:pPr>
        <w:pStyle w:val="BodyText"/>
      </w:pPr>
      <w:r w:rsidRPr="006C750E">
        <w:lastRenderedPageBreak/>
        <w:t xml:space="preserve">The travel rate </w:t>
      </w:r>
      <w:r>
        <w:t xml:space="preserve">for 2017-18 </w:t>
      </w:r>
      <w:r w:rsidRPr="00744044">
        <w:t>is 76 cent</w:t>
      </w:r>
      <w:r>
        <w:t>s per</w:t>
      </w:r>
      <w:r w:rsidRPr="00744044">
        <w:t xml:space="preserve"> kilometre</w:t>
      </w:r>
      <w:r>
        <w:t>, with the amount claimable per year subject to the following caps</w:t>
      </w:r>
      <w:r w:rsidRPr="006C750E">
        <w:t>:</w:t>
      </w:r>
    </w:p>
    <w:p w:rsidR="00CC7613" w:rsidRPr="00326ED2" w:rsidRDefault="00CC7613" w:rsidP="00CC7613">
      <w:pPr>
        <w:pStyle w:val="ListBullet"/>
        <w:numPr>
          <w:ilvl w:val="0"/>
          <w:numId w:val="15"/>
        </w:numPr>
      </w:pPr>
      <w:r w:rsidRPr="00326ED2">
        <w:t>$2,500 per rural service FTE, and</w:t>
      </w:r>
    </w:p>
    <w:p w:rsidR="00CC7613" w:rsidRPr="00326ED2" w:rsidRDefault="00CC7613" w:rsidP="00CC7613">
      <w:pPr>
        <w:pStyle w:val="ListBullet"/>
        <w:numPr>
          <w:ilvl w:val="0"/>
          <w:numId w:val="15"/>
        </w:numPr>
      </w:pPr>
      <w:r w:rsidRPr="00326ED2">
        <w:t>$500 per metropolitan service FTE.</w:t>
      </w:r>
    </w:p>
    <w:p w:rsidR="00CC7613" w:rsidRPr="006C750E" w:rsidRDefault="00CC7613" w:rsidP="00CC7613">
      <w:pPr>
        <w:pStyle w:val="BodyText"/>
      </w:pPr>
      <w:r>
        <w:t>Organisations</w:t>
      </w:r>
      <w:r w:rsidRPr="006C750E">
        <w:t xml:space="preserve"> are required to submit the travel amount being claimed each quarter.</w:t>
      </w:r>
      <w:r>
        <w:t xml:space="preserve"> </w:t>
      </w:r>
      <w:r w:rsidRPr="006C750E">
        <w:t>CAV will pay travel reimbursements in August</w:t>
      </w:r>
      <w:r>
        <w:t>, following the end of the financial year in which the travel was undertaken</w:t>
      </w:r>
      <w:r w:rsidRPr="006C750E">
        <w:t>.</w:t>
      </w:r>
    </w:p>
    <w:p w:rsidR="00CC7613" w:rsidRPr="00EA530C" w:rsidRDefault="00CC7613" w:rsidP="00CC7613">
      <w:pPr>
        <w:pStyle w:val="Heading3"/>
      </w:pPr>
      <w:bookmarkStart w:id="121" w:name="_Toc465155278"/>
      <w:bookmarkStart w:id="122" w:name="_Toc465156608"/>
      <w:bookmarkStart w:id="123" w:name="_Toc465156750"/>
      <w:bookmarkStart w:id="124" w:name="_Toc468805167"/>
      <w:r>
        <w:t>5.4 Interpreting s</w:t>
      </w:r>
      <w:r w:rsidRPr="00EA530C">
        <w:t>ervices</w:t>
      </w:r>
      <w:bookmarkEnd w:id="121"/>
      <w:bookmarkEnd w:id="122"/>
      <w:bookmarkEnd w:id="123"/>
      <w:bookmarkEnd w:id="124"/>
    </w:p>
    <w:p w:rsidR="00CC7613" w:rsidRDefault="00CC7613" w:rsidP="00CC7613">
      <w:pPr>
        <w:pStyle w:val="BodyText"/>
      </w:pPr>
      <w:r w:rsidRPr="006C750E">
        <w:t xml:space="preserve">TAAP workers will have access to interpreting services </w:t>
      </w:r>
      <w:r>
        <w:t>to communicate with clients with limited English proficiency.</w:t>
      </w:r>
      <w:r w:rsidRPr="008660CA">
        <w:t xml:space="preserve"> </w:t>
      </w:r>
      <w:r w:rsidRPr="006C750E">
        <w:t>Interpret</w:t>
      </w:r>
      <w:r>
        <w:t>ing costs are funded directly by CAV.</w:t>
      </w:r>
    </w:p>
    <w:p w:rsidR="00CC7613" w:rsidRPr="006C750E" w:rsidRDefault="00CC7613" w:rsidP="00CC7613">
      <w:pPr>
        <w:pStyle w:val="BodyText"/>
      </w:pPr>
      <w:r>
        <w:t>The T</w:t>
      </w:r>
      <w:r w:rsidRPr="008660CA">
        <w:t xml:space="preserve">AAP provider will be able to use </w:t>
      </w:r>
      <w:r>
        <w:t xml:space="preserve">either </w:t>
      </w:r>
      <w:r w:rsidRPr="008660CA">
        <w:t>Victorian Interpreting and Translations Services or Transl</w:t>
      </w:r>
      <w:r>
        <w:t>ation and Interpreting Services</w:t>
      </w:r>
      <w:r w:rsidRPr="008660CA">
        <w:t>.</w:t>
      </w:r>
      <w:r>
        <w:t xml:space="preserve"> The</w:t>
      </w:r>
      <w:r w:rsidRPr="006C750E">
        <w:t xml:space="preserve"> </w:t>
      </w:r>
      <w:r>
        <w:t>TAAP provider</w:t>
      </w:r>
      <w:r w:rsidRPr="006C750E">
        <w:t xml:space="preserve"> will be </w:t>
      </w:r>
      <w:r>
        <w:t>provided with</w:t>
      </w:r>
      <w:r w:rsidRPr="006C750E">
        <w:t xml:space="preserve"> a</w:t>
      </w:r>
      <w:r>
        <w:t>n access code for the services</w:t>
      </w:r>
      <w:r w:rsidRPr="006C750E">
        <w:t>.</w:t>
      </w:r>
    </w:p>
    <w:p w:rsidR="00CC7613" w:rsidRPr="00EA530C" w:rsidRDefault="00CC7613" w:rsidP="00CC7613">
      <w:pPr>
        <w:pStyle w:val="Heading2"/>
      </w:pPr>
      <w:bookmarkStart w:id="125" w:name="_Toc465155279"/>
      <w:bookmarkStart w:id="126" w:name="_Toc465156609"/>
      <w:bookmarkStart w:id="127" w:name="_Toc465156751"/>
      <w:bookmarkStart w:id="128" w:name="_Toc468805168"/>
      <w:r>
        <w:t xml:space="preserve">6. </w:t>
      </w:r>
      <w:r w:rsidRPr="00EA530C">
        <w:t>Per</w:t>
      </w:r>
      <w:r>
        <w:t>formance monitoring f</w:t>
      </w:r>
      <w:r w:rsidRPr="00EA530C">
        <w:t>ramework</w:t>
      </w:r>
      <w:bookmarkEnd w:id="125"/>
      <w:bookmarkEnd w:id="126"/>
      <w:bookmarkEnd w:id="127"/>
      <w:bookmarkEnd w:id="128"/>
    </w:p>
    <w:p w:rsidR="00CC7613" w:rsidRDefault="00CC7613" w:rsidP="00CC7613">
      <w:pPr>
        <w:pStyle w:val="BodyText"/>
      </w:pPr>
      <w:r>
        <w:t>Each funded organisation will be required to deliver the TAAP services in a timely and efficient manner using a standard of care and skill that would reasonably be expected from an expert and experienced provider of the services. The organisation will not be paid for services that do not meet this standard.</w:t>
      </w:r>
    </w:p>
    <w:p w:rsidR="00CC7613" w:rsidRPr="006C750E" w:rsidRDefault="00CC7613" w:rsidP="00CC7613">
      <w:pPr>
        <w:pStyle w:val="BodyText"/>
      </w:pPr>
      <w:r>
        <w:t>TAAP funded organisations</w:t>
      </w:r>
      <w:r w:rsidRPr="006C750E">
        <w:t xml:space="preserve"> must comply with the TAAP performance monitoring framework, which includes:</w:t>
      </w:r>
    </w:p>
    <w:p w:rsidR="00CC7613" w:rsidRPr="006C750E" w:rsidRDefault="00CC7613" w:rsidP="00CC7613">
      <w:pPr>
        <w:pStyle w:val="ListBullet"/>
      </w:pPr>
      <w:r w:rsidRPr="006C750E">
        <w:t>reporting against the number o</w:t>
      </w:r>
      <w:r>
        <w:t>f funded service hours</w:t>
      </w:r>
    </w:p>
    <w:p w:rsidR="00CC7613" w:rsidRDefault="00CC7613" w:rsidP="00CC7613">
      <w:pPr>
        <w:pStyle w:val="ListBullet"/>
      </w:pPr>
      <w:r w:rsidRPr="006C750E">
        <w:t xml:space="preserve">collecting and </w:t>
      </w:r>
      <w:r>
        <w:t xml:space="preserve">submitting </w:t>
      </w:r>
      <w:r w:rsidRPr="006C750E">
        <w:t>se</w:t>
      </w:r>
      <w:r>
        <w:t>rvice data on a quarterly basis</w:t>
      </w:r>
    </w:p>
    <w:p w:rsidR="00CC7613" w:rsidRPr="006C750E" w:rsidRDefault="00CC7613" w:rsidP="00CC7613">
      <w:pPr>
        <w:pStyle w:val="ListBullet"/>
      </w:pPr>
      <w:r>
        <w:t>providing the organisation’s complaint policy</w:t>
      </w:r>
    </w:p>
    <w:p w:rsidR="00CC7613" w:rsidRPr="006C750E" w:rsidRDefault="00CC7613" w:rsidP="00CC7613">
      <w:pPr>
        <w:pStyle w:val="ListBullet"/>
      </w:pPr>
      <w:r>
        <w:t xml:space="preserve">providing a </w:t>
      </w:r>
      <w:r w:rsidRPr="006C750E">
        <w:t>six-monthly</w:t>
      </w:r>
      <w:r>
        <w:t xml:space="preserve"> narrative and training report</w:t>
      </w:r>
    </w:p>
    <w:p w:rsidR="00CC7613" w:rsidRPr="006C750E" w:rsidRDefault="00CC7613" w:rsidP="00CC7613">
      <w:pPr>
        <w:pStyle w:val="ListBullet"/>
      </w:pPr>
      <w:r>
        <w:t>providing</w:t>
      </w:r>
      <w:r w:rsidRPr="006C750E">
        <w:t xml:space="preserve"> </w:t>
      </w:r>
      <w:r>
        <w:t>an annual acquittal certificate</w:t>
      </w:r>
    </w:p>
    <w:p w:rsidR="00CC7613" w:rsidRPr="006C750E" w:rsidRDefault="00CC7613" w:rsidP="00CC7613">
      <w:pPr>
        <w:pStyle w:val="ListBullet"/>
      </w:pPr>
      <w:r>
        <w:t xml:space="preserve">providing </w:t>
      </w:r>
      <w:r w:rsidRPr="006C750E">
        <w:t>a copy of the organisation’s annual report w</w:t>
      </w:r>
      <w:r>
        <w:t>ith audited financial statement,</w:t>
      </w:r>
      <w:r w:rsidRPr="006C750E">
        <w:t xml:space="preserve"> and</w:t>
      </w:r>
    </w:p>
    <w:p w:rsidR="00CC7613" w:rsidRPr="006C750E" w:rsidRDefault="00CC7613" w:rsidP="00CC7613">
      <w:pPr>
        <w:pStyle w:val="ListBullet"/>
      </w:pPr>
      <w:r>
        <w:t xml:space="preserve">otherwise complying </w:t>
      </w:r>
      <w:r w:rsidRPr="006C750E">
        <w:t>with the TAAP funding agreement.</w:t>
      </w:r>
    </w:p>
    <w:p w:rsidR="00CC7613" w:rsidRPr="006C750E" w:rsidRDefault="00CC7613" w:rsidP="00CC7613">
      <w:pPr>
        <w:pStyle w:val="BodyText"/>
      </w:pPr>
      <w:r w:rsidRPr="006C750E">
        <w:t>All reports must be provided in the prescribed format and within the required timelines.</w:t>
      </w:r>
      <w:r>
        <w:t xml:space="preserve"> </w:t>
      </w:r>
      <w:r w:rsidRPr="006C750E">
        <w:t xml:space="preserve">All </w:t>
      </w:r>
      <w:r>
        <w:t>organisations</w:t>
      </w:r>
      <w:r w:rsidRPr="006C750E">
        <w:t xml:space="preserve"> must report usin</w:t>
      </w:r>
      <w:r>
        <w:t xml:space="preserve">g the data-set advised by CAV. </w:t>
      </w:r>
      <w:r w:rsidRPr="006C750E">
        <w:t xml:space="preserve">CAV does not require any specific database to be used for data collection, however all </w:t>
      </w:r>
      <w:r>
        <w:t>organisations</w:t>
      </w:r>
      <w:r w:rsidRPr="006C750E">
        <w:t xml:space="preserve"> must be able to upload </w:t>
      </w:r>
      <w:r>
        <w:t xml:space="preserve">the required </w:t>
      </w:r>
      <w:r w:rsidRPr="006C750E">
        <w:t xml:space="preserve">service hours and data to the </w:t>
      </w:r>
      <w:r>
        <w:t>CAV F</w:t>
      </w:r>
      <w:r w:rsidRPr="006C750E">
        <w:t xml:space="preserve">unded </w:t>
      </w:r>
      <w:r>
        <w:t>S</w:t>
      </w:r>
      <w:r w:rsidRPr="006C750E">
        <w:t>ervices data portal</w:t>
      </w:r>
      <w:r w:rsidRPr="00EE3F8C">
        <w:t xml:space="preserve"> </w:t>
      </w:r>
      <w:r w:rsidRPr="006C750E">
        <w:t>in a C</w:t>
      </w:r>
      <w:r>
        <w:t xml:space="preserve">omma-Separated </w:t>
      </w:r>
      <w:r w:rsidRPr="006C750E">
        <w:t>V</w:t>
      </w:r>
      <w:r>
        <w:t>alues (CSV)</w:t>
      </w:r>
      <w:r w:rsidRPr="006C750E">
        <w:t xml:space="preserve"> format.</w:t>
      </w:r>
    </w:p>
    <w:p w:rsidR="00CC7613" w:rsidRPr="006C750E" w:rsidRDefault="00CC7613" w:rsidP="00CC7613">
      <w:pPr>
        <w:pStyle w:val="BodyText"/>
      </w:pPr>
      <w:r>
        <w:t>At</w:t>
      </w:r>
      <w:r w:rsidRPr="006C750E">
        <w:t xml:space="preserve"> CAV’s discretion</w:t>
      </w:r>
      <w:r>
        <w:t>, p</w:t>
      </w:r>
      <w:r w:rsidRPr="006C750E">
        <w:t xml:space="preserve">erformance monitoring may also include occasional visits to </w:t>
      </w:r>
      <w:r>
        <w:t>TAAP organisations</w:t>
      </w:r>
      <w:r w:rsidRPr="006C750E">
        <w:t xml:space="preserve"> by CAV </w:t>
      </w:r>
      <w:r>
        <w:t xml:space="preserve">or Department of Justice and Regulation </w:t>
      </w:r>
      <w:r w:rsidRPr="006C750E">
        <w:t>staff to discuss service delivery.</w:t>
      </w:r>
    </w:p>
    <w:p w:rsidR="00CC7613" w:rsidRPr="006C750E" w:rsidRDefault="00CC7613" w:rsidP="00CC7613">
      <w:pPr>
        <w:pStyle w:val="BodyText"/>
      </w:pPr>
      <w:r w:rsidRPr="006C750E">
        <w:lastRenderedPageBreak/>
        <w:t>If requeste</w:t>
      </w:r>
      <w:r>
        <w:t xml:space="preserve">d by CAV, organisations may be required to conduct or otherwise assist with </w:t>
      </w:r>
      <w:r w:rsidRPr="006C750E">
        <w:t xml:space="preserve">a client satisfaction survey. </w:t>
      </w:r>
      <w:r>
        <w:t xml:space="preserve">In this event, </w:t>
      </w:r>
      <w:r w:rsidRPr="006C750E">
        <w:t xml:space="preserve">CAV will consult with </w:t>
      </w:r>
      <w:r>
        <w:t>organisations</w:t>
      </w:r>
      <w:r w:rsidRPr="006C750E">
        <w:t xml:space="preserve"> in the develo</w:t>
      </w:r>
      <w:r>
        <w:t>pment and design of the survey.</w:t>
      </w:r>
    </w:p>
    <w:p w:rsidR="00CC7613" w:rsidRPr="00EA530C" w:rsidRDefault="00CC7613" w:rsidP="00CC7613">
      <w:pPr>
        <w:pStyle w:val="Heading3"/>
      </w:pPr>
      <w:bookmarkStart w:id="129" w:name="_Toc465155280"/>
      <w:bookmarkStart w:id="130" w:name="_Toc465156610"/>
      <w:bookmarkStart w:id="131" w:name="_Toc465156752"/>
      <w:bookmarkStart w:id="132" w:name="_Toc468805169"/>
      <w:r>
        <w:t>6.1 Funding a</w:t>
      </w:r>
      <w:r w:rsidRPr="00EA530C">
        <w:t>greement</w:t>
      </w:r>
      <w:bookmarkEnd w:id="129"/>
      <w:bookmarkEnd w:id="130"/>
      <w:bookmarkEnd w:id="131"/>
      <w:bookmarkEnd w:id="132"/>
    </w:p>
    <w:p w:rsidR="00CC7613" w:rsidRPr="006C750E" w:rsidRDefault="00CC7613" w:rsidP="00CC7613">
      <w:pPr>
        <w:pStyle w:val="BodyText"/>
      </w:pPr>
      <w:r w:rsidRPr="006C750E">
        <w:t xml:space="preserve">To receive TAAP funding, </w:t>
      </w:r>
      <w:r>
        <w:t>organisations</w:t>
      </w:r>
      <w:r w:rsidRPr="006C750E">
        <w:t xml:space="preserve"> must enter a formal funding agreement with CAV in the form of the Victorian Common Funding Agreement.</w:t>
      </w:r>
    </w:p>
    <w:p w:rsidR="00CC7613" w:rsidRPr="009105E2" w:rsidRDefault="00CC7613" w:rsidP="00CC7613">
      <w:pPr>
        <w:pStyle w:val="BodyText"/>
      </w:pPr>
      <w:r w:rsidRPr="009105E2">
        <w:t xml:space="preserve">The standard terms and conditions of this agreement are not negotiable. A copy of these terms is available for download at the </w:t>
      </w:r>
      <w:hyperlink r:id="rId15" w:history="1">
        <w:r>
          <w:rPr>
            <w:rStyle w:val="Hyperlink"/>
          </w:rPr>
          <w:t>Victorian C</w:t>
        </w:r>
        <w:r w:rsidRPr="009105E2">
          <w:rPr>
            <w:rStyle w:val="Hyperlink"/>
          </w:rPr>
          <w:t>ommon Funding Agreement page on the DHHS website</w:t>
        </w:r>
      </w:hyperlink>
      <w:r w:rsidRPr="009105E2">
        <w:t xml:space="preserve"> (</w:t>
      </w:r>
      <w:r w:rsidR="002828A7" w:rsidRPr="002828A7">
        <w:t>http://www.dhs.vic.gov.au/for-business-and-community/not-for-profit-organisations/common-funding-agreement</w:t>
      </w:r>
      <w:r>
        <w:t>).</w:t>
      </w:r>
    </w:p>
    <w:p w:rsidR="00CC7613" w:rsidRPr="007250B7" w:rsidRDefault="00CC7613" w:rsidP="00CC7613">
      <w:pPr>
        <w:pStyle w:val="ListBullet2"/>
        <w:numPr>
          <w:ilvl w:val="0"/>
          <w:numId w:val="0"/>
        </w:numPr>
      </w:pPr>
      <w:r w:rsidRPr="00570371">
        <w:t xml:space="preserve">The </w:t>
      </w:r>
      <w:hyperlink r:id="rId16" w:history="1">
        <w:r w:rsidRPr="00273D00">
          <w:rPr>
            <w:rStyle w:val="Hyperlink"/>
          </w:rPr>
          <w:t>TAAP Draft Schedule to Funding Agreement (Word, 147KB)</w:t>
        </w:r>
      </w:hyperlink>
      <w:r>
        <w:t xml:space="preserve"> (</w:t>
      </w:r>
      <w:r w:rsidRPr="00D73CA4">
        <w:t>https://www.consumer.vic.gov.au/library/forms/clubs-and-not-for-profits/grants/taap-draft-schedule-to-funding-agreement-2017-21.docx</w:t>
      </w:r>
      <w:r>
        <w:t>)</w:t>
      </w:r>
      <w:r w:rsidRPr="004B36F2">
        <w:t xml:space="preserve"> </w:t>
      </w:r>
      <w:r w:rsidRPr="0091004A">
        <w:t>contains the proposed funding and reporting terms including special conditions. The draft is indicative only</w:t>
      </w:r>
      <w:r>
        <w:t>,</w:t>
      </w:r>
      <w:r w:rsidRPr="0091004A">
        <w:t xml:space="preserve"> and </w:t>
      </w:r>
      <w:r>
        <w:t>the final schedule may differ from this draft.</w:t>
      </w:r>
    </w:p>
    <w:p w:rsidR="00CC7613" w:rsidRDefault="00CC7613" w:rsidP="00CC7613">
      <w:pPr>
        <w:pStyle w:val="ListBullet2"/>
        <w:numPr>
          <w:ilvl w:val="0"/>
          <w:numId w:val="0"/>
        </w:numPr>
      </w:pPr>
      <w:r w:rsidRPr="006C750E">
        <w:t xml:space="preserve">The funding agreement </w:t>
      </w:r>
      <w:r>
        <w:t xml:space="preserve">will </w:t>
      </w:r>
      <w:r w:rsidRPr="006C750E">
        <w:t>incorporate the service delivery requirements</w:t>
      </w:r>
      <w:r w:rsidRPr="006C750E" w:rsidDel="006872C9">
        <w:t xml:space="preserve"> </w:t>
      </w:r>
      <w:r w:rsidRPr="006C750E">
        <w:t xml:space="preserve">contained in this </w:t>
      </w:r>
      <w:r>
        <w:t xml:space="preserve">RFS, </w:t>
      </w:r>
      <w:r w:rsidRPr="00570371">
        <w:t xml:space="preserve">the </w:t>
      </w:r>
      <w:hyperlink r:id="rId17" w:history="1">
        <w:r w:rsidRPr="00273D00">
          <w:rPr>
            <w:rStyle w:val="Hyperlink"/>
          </w:rPr>
          <w:t>TAAP Draft Schedule to Funding Agreement (Word, 147KB)</w:t>
        </w:r>
      </w:hyperlink>
      <w:r>
        <w:t xml:space="preserve"> (</w:t>
      </w:r>
      <w:r w:rsidRPr="00D73CA4">
        <w:t>https://www.consumer.vic.gov.au/library/forms/clubs-and-not-for-profits/grants/taap-draft-schedule-to-funding-agreement-2017-21.docx</w:t>
      </w:r>
      <w:r>
        <w:t>)</w:t>
      </w:r>
      <w:r w:rsidRPr="00570371">
        <w:t xml:space="preserve">, </w:t>
      </w:r>
      <w:r>
        <w:t>and any operational guidelines.</w:t>
      </w:r>
    </w:p>
    <w:p w:rsidR="00CC7613" w:rsidRPr="00EA530C" w:rsidRDefault="00CC7613" w:rsidP="00CC7613">
      <w:pPr>
        <w:pStyle w:val="Heading3"/>
      </w:pPr>
      <w:bookmarkStart w:id="133" w:name="_Toc465155281"/>
      <w:bookmarkStart w:id="134" w:name="_Toc465156611"/>
      <w:bookmarkStart w:id="135" w:name="_Toc465156753"/>
      <w:bookmarkStart w:id="136" w:name="_Toc468805170"/>
      <w:r>
        <w:t xml:space="preserve">6.2 </w:t>
      </w:r>
      <w:r w:rsidRPr="00EA530C">
        <w:t>Payments</w:t>
      </w:r>
      <w:bookmarkEnd w:id="133"/>
      <w:bookmarkEnd w:id="134"/>
      <w:bookmarkEnd w:id="135"/>
      <w:bookmarkEnd w:id="136"/>
    </w:p>
    <w:p w:rsidR="00CC7613" w:rsidRPr="006C750E" w:rsidRDefault="00CC7613" w:rsidP="00CC7613">
      <w:pPr>
        <w:pStyle w:val="BodyText"/>
      </w:pPr>
      <w:r w:rsidRPr="006C750E">
        <w:t>Funding payments will be made</w:t>
      </w:r>
      <w:r>
        <w:t xml:space="preserve"> on a quarterly basis upon CAV</w:t>
      </w:r>
      <w:r w:rsidRPr="006C750E">
        <w:t xml:space="preserve"> accept</w:t>
      </w:r>
      <w:r>
        <w:t>ing</w:t>
      </w:r>
      <w:r w:rsidRPr="006C750E">
        <w:t xml:space="preserve"> that the </w:t>
      </w:r>
      <w:r>
        <w:t>organisation</w:t>
      </w:r>
      <w:r w:rsidRPr="006C750E">
        <w:t xml:space="preserve"> is meeting its </w:t>
      </w:r>
      <w:r>
        <w:t>obligations</w:t>
      </w:r>
      <w:r w:rsidRPr="006C750E">
        <w:t xml:space="preserve"> under the funding agreement</w:t>
      </w:r>
      <w:r>
        <w:t>,</w:t>
      </w:r>
      <w:r w:rsidRPr="006C750E">
        <w:t xml:space="preserve"> including:</w:t>
      </w:r>
    </w:p>
    <w:p w:rsidR="00CC7613" w:rsidRPr="006C750E" w:rsidRDefault="00CC7613" w:rsidP="00CC7613">
      <w:pPr>
        <w:pStyle w:val="ListBullet"/>
      </w:pPr>
      <w:r w:rsidRPr="006C750E">
        <w:t>deli</w:t>
      </w:r>
      <w:r>
        <w:t>vering the funded service hours</w:t>
      </w:r>
    </w:p>
    <w:p w:rsidR="00CC7613" w:rsidRDefault="00CC7613" w:rsidP="00CC7613">
      <w:pPr>
        <w:pStyle w:val="ListBullet"/>
      </w:pPr>
      <w:r>
        <w:t>delivering the required services</w:t>
      </w:r>
      <w:r w:rsidRPr="006C750E">
        <w:t xml:space="preserve"> </w:t>
      </w:r>
      <w:r>
        <w:t>to a high quality standard</w:t>
      </w:r>
    </w:p>
    <w:p w:rsidR="00CC7613" w:rsidRDefault="00CC7613" w:rsidP="00CC7613">
      <w:pPr>
        <w:pStyle w:val="ListBullet"/>
      </w:pPr>
      <w:r w:rsidRPr="006C750E">
        <w:t>comply</w:t>
      </w:r>
      <w:r>
        <w:t>ing with reporting requirements</w:t>
      </w:r>
    </w:p>
    <w:p w:rsidR="00CC7613" w:rsidRDefault="00CC7613" w:rsidP="00CC7613">
      <w:pPr>
        <w:pStyle w:val="ListBullet"/>
      </w:pPr>
      <w:r w:rsidRPr="006C750E">
        <w:t>ensuring TAAP workers attend req</w:t>
      </w:r>
      <w:r>
        <w:t>uired professional development,</w:t>
      </w:r>
      <w:r w:rsidRPr="00095275">
        <w:t xml:space="preserve"> </w:t>
      </w:r>
      <w:r>
        <w:t>and</w:t>
      </w:r>
    </w:p>
    <w:p w:rsidR="00CC7613" w:rsidRPr="006C750E" w:rsidRDefault="00CC7613" w:rsidP="00CC7613">
      <w:pPr>
        <w:pStyle w:val="ListBullet"/>
      </w:pPr>
      <w:r>
        <w:t xml:space="preserve">meeting the other service delivery requirements contained in this RFS, the </w:t>
      </w:r>
      <w:hyperlink r:id="rId18" w:history="1">
        <w:r w:rsidRPr="00273D00">
          <w:rPr>
            <w:rStyle w:val="Hyperlink"/>
          </w:rPr>
          <w:t>TAAP Service Delivery Model (Word, 295KB)</w:t>
        </w:r>
      </w:hyperlink>
      <w:r>
        <w:t xml:space="preserve"> (</w:t>
      </w:r>
      <w:r w:rsidRPr="007250B7">
        <w:t>https://www.consumer.vic.gov.au/library/forms/clubs-and-not-for-profits/grants/taap-service-delivery-model-2017-21.doc</w:t>
      </w:r>
      <w:r>
        <w:t>), and any operational guidelines.</w:t>
      </w:r>
    </w:p>
    <w:p w:rsidR="00CC7613" w:rsidRPr="006C750E" w:rsidRDefault="00CC7613" w:rsidP="00CC7613">
      <w:pPr>
        <w:pStyle w:val="BodyText"/>
      </w:pPr>
      <w:r w:rsidRPr="006C750E">
        <w:t>Failure to meet the service delivery requirements will constitute a breach of the funding agreement and may result in CAV reducing or withholding payments.</w:t>
      </w:r>
    </w:p>
    <w:p w:rsidR="00CC7613" w:rsidRDefault="00CC7613" w:rsidP="00CC7613">
      <w:pPr>
        <w:pStyle w:val="BodyText"/>
      </w:pPr>
      <w:r>
        <w:t xml:space="preserve">All payments will be made </w:t>
      </w:r>
      <w:r w:rsidRPr="006C750E">
        <w:t>via electronic funds transfer</w:t>
      </w:r>
      <w:r>
        <w:t xml:space="preserve"> to the organisation’s account nominated in the funding agreement</w:t>
      </w:r>
      <w:r w:rsidRPr="006C750E">
        <w:t>.</w:t>
      </w:r>
    </w:p>
    <w:p w:rsidR="00CC7613" w:rsidRPr="00BF72FA" w:rsidRDefault="00CC7613" w:rsidP="00CC7613">
      <w:pPr>
        <w:pStyle w:val="Heading2"/>
      </w:pPr>
      <w:bookmarkStart w:id="137" w:name="_Toc468805171"/>
      <w:r>
        <w:lastRenderedPageBreak/>
        <w:t>7.</w:t>
      </w:r>
      <w:r w:rsidRPr="00BF72FA">
        <w:t xml:space="preserve"> Making an application</w:t>
      </w:r>
      <w:bookmarkEnd w:id="137"/>
    </w:p>
    <w:p w:rsidR="00CC7613" w:rsidRDefault="00CC7613" w:rsidP="00CC7613">
      <w:pPr>
        <w:pStyle w:val="ListBullet2"/>
        <w:numPr>
          <w:ilvl w:val="0"/>
          <w:numId w:val="0"/>
        </w:numPr>
      </w:pPr>
      <w:r>
        <w:t xml:space="preserve">Information on how </w:t>
      </w:r>
      <w:r w:rsidRPr="00BF72FA">
        <w:t xml:space="preserve">to respond to this RFS is provided in the </w:t>
      </w:r>
      <w:hyperlink r:id="rId19" w:history="1">
        <w:r w:rsidRPr="00273D00">
          <w:rPr>
            <w:rStyle w:val="Hyperlink"/>
          </w:rPr>
          <w:t xml:space="preserve">TAAP Application Guide (Word, </w:t>
        </w:r>
        <w:r>
          <w:rPr>
            <w:rStyle w:val="Hyperlink"/>
          </w:rPr>
          <w:t>59</w:t>
        </w:r>
        <w:r w:rsidRPr="00273D00">
          <w:rPr>
            <w:rStyle w:val="Hyperlink"/>
          </w:rPr>
          <w:t>KB)</w:t>
        </w:r>
      </w:hyperlink>
      <w:r>
        <w:t xml:space="preserve"> (</w:t>
      </w:r>
      <w:r w:rsidRPr="00D73CA4">
        <w:t>https://www.consumer.vic.gov.au/library/forms/clubs-and-not-for-profits/grants/taap-application-guide-2017-21.docx</w:t>
      </w:r>
      <w:r>
        <w:t>)</w:t>
      </w:r>
      <w:r w:rsidRPr="00570371">
        <w:t>.</w:t>
      </w:r>
    </w:p>
    <w:p w:rsidR="00CC7613" w:rsidRPr="00BF72FA" w:rsidRDefault="00CC7613" w:rsidP="00CC7613">
      <w:pPr>
        <w:pStyle w:val="BodyText"/>
      </w:pPr>
      <w:r w:rsidRPr="00BF72FA">
        <w:t>This includes important information, including the application deadline and other significant dates.</w:t>
      </w:r>
    </w:p>
    <w:p w:rsidR="00CC7613" w:rsidRPr="003B1E68" w:rsidRDefault="00CC7613" w:rsidP="00CC7613">
      <w:pPr>
        <w:pStyle w:val="ListBullet2"/>
        <w:numPr>
          <w:ilvl w:val="0"/>
          <w:numId w:val="0"/>
        </w:numPr>
      </w:pPr>
      <w:r w:rsidRPr="00BF72FA">
        <w:t>Responses to t</w:t>
      </w:r>
      <w:r>
        <w:t xml:space="preserve">his RFS must be submitted using the template provided: </w:t>
      </w:r>
      <w:hyperlink r:id="rId20" w:history="1">
        <w:r w:rsidRPr="00F81C3A">
          <w:rPr>
            <w:rStyle w:val="Hyperlink"/>
          </w:rPr>
          <w:t>TAAP Application – Response to Request for Service (Word, 316KB)</w:t>
        </w:r>
      </w:hyperlink>
      <w:r>
        <w:t xml:space="preserve"> (</w:t>
      </w:r>
      <w:r w:rsidRPr="00D73CA4">
        <w:t>https://www.consumer.vic.gov.au/library/forms/clubs-and-not-for-profits/grants/taap-application-response-to-request-for-service-2017-21.doc</w:t>
      </w:r>
      <w:r>
        <w:t>).</w:t>
      </w:r>
    </w:p>
    <w:p w:rsidR="00CC7613" w:rsidRPr="00C30180" w:rsidRDefault="00CC7613" w:rsidP="00CC7613">
      <w:pPr>
        <w:pStyle w:val="BodyText"/>
      </w:pPr>
      <w:r w:rsidRPr="00BF72FA">
        <w:t>If your</w:t>
      </w:r>
      <w:r>
        <w:t xml:space="preserve"> organisation intends to submit an application, please register your interest via an email to </w:t>
      </w:r>
      <w:hyperlink r:id="rId21" w:history="1">
        <w:r>
          <w:rPr>
            <w:rStyle w:val="Hyperlink"/>
          </w:rPr>
          <w:t>fundedservices@justice.vic.gov.au</w:t>
        </w:r>
      </w:hyperlink>
      <w:bookmarkStart w:id="138" w:name="_GoBack"/>
      <w:bookmarkEnd w:id="138"/>
      <w:r>
        <w:t>, using the subject line ‘TAAP &lt;your organisation name&gt; &lt;the service area you are making an application for&gt; - RFS notices’</w:t>
      </w:r>
    </w:p>
    <w:p w:rsidR="00CC7613" w:rsidRPr="00EA530C" w:rsidRDefault="00CC7613" w:rsidP="00CC7613">
      <w:pPr>
        <w:pStyle w:val="Heading2"/>
      </w:pPr>
      <w:bookmarkStart w:id="139" w:name="_Toc465155282"/>
      <w:bookmarkStart w:id="140" w:name="_Toc465156612"/>
      <w:bookmarkStart w:id="141" w:name="_Toc465156754"/>
      <w:bookmarkStart w:id="142" w:name="_Toc468805172"/>
      <w:r>
        <w:t>8. Contact d</w:t>
      </w:r>
      <w:r w:rsidRPr="00EA530C">
        <w:t>etails</w:t>
      </w:r>
      <w:bookmarkEnd w:id="139"/>
      <w:bookmarkEnd w:id="140"/>
      <w:bookmarkEnd w:id="141"/>
      <w:bookmarkEnd w:id="142"/>
    </w:p>
    <w:p w:rsidR="00CC7613" w:rsidRPr="002222D5" w:rsidRDefault="00CC7613" w:rsidP="00CC7613">
      <w:pPr>
        <w:pStyle w:val="BodyText"/>
      </w:pPr>
      <w:r w:rsidRPr="006C750E">
        <w:t xml:space="preserve">For further information or assistance regarding this </w:t>
      </w:r>
      <w:r>
        <w:t>RFS</w:t>
      </w:r>
      <w:r w:rsidRPr="006C750E">
        <w:t xml:space="preserve">, contact CAV Funded Services staff by emailing: </w:t>
      </w:r>
      <w:hyperlink r:id="rId22" w:history="1">
        <w:r w:rsidRPr="006C750E">
          <w:rPr>
            <w:rStyle w:val="Hyperlink"/>
          </w:rPr>
          <w:t>fundedservices@justice.vic.gov.au</w:t>
        </w:r>
      </w:hyperlink>
      <w:r w:rsidRPr="002222D5">
        <w:t xml:space="preserve">, using </w:t>
      </w:r>
      <w:r>
        <w:t>the subject line ‘TAAP query’.</w:t>
      </w:r>
    </w:p>
    <w:p w:rsidR="00CC7613" w:rsidRDefault="00CC7613" w:rsidP="00CC7613">
      <w:pPr>
        <w:pStyle w:val="Heading2"/>
      </w:pPr>
      <w:bookmarkStart w:id="143" w:name="_Toc468805173"/>
      <w:r>
        <w:t>9. Further information</w:t>
      </w:r>
      <w:bookmarkEnd w:id="143"/>
    </w:p>
    <w:p w:rsidR="00CC7613" w:rsidRDefault="005A71B7" w:rsidP="00CC7613">
      <w:pPr>
        <w:pStyle w:val="ListBullet2"/>
        <w:numPr>
          <w:ilvl w:val="0"/>
          <w:numId w:val="0"/>
        </w:numPr>
      </w:pPr>
      <w:hyperlink r:id="rId23" w:history="1">
        <w:r w:rsidR="00CC7613" w:rsidRPr="00273D00">
          <w:rPr>
            <w:rStyle w:val="Hyperlink"/>
          </w:rPr>
          <w:t>TAAP FTE and Funding Allocation 2017-18 (Word, 106KB)</w:t>
        </w:r>
      </w:hyperlink>
      <w:r w:rsidR="00CC7613">
        <w:t xml:space="preserve"> (</w:t>
      </w:r>
      <w:r w:rsidR="00CC7613" w:rsidRPr="00D73CA4">
        <w:t>https://www.consumer.vic.gov.au/library/forms/clubs-and-not-for-profits/grants/taap-fte-allocation-2017-18.doc</w:t>
      </w:r>
      <w:r w:rsidR="00CC7613">
        <w:t>)</w:t>
      </w:r>
    </w:p>
    <w:p w:rsidR="00CC7613" w:rsidRDefault="005A71B7" w:rsidP="00CC7613">
      <w:pPr>
        <w:pStyle w:val="ListBullet2"/>
        <w:numPr>
          <w:ilvl w:val="0"/>
          <w:numId w:val="0"/>
        </w:numPr>
      </w:pPr>
      <w:hyperlink r:id="rId24" w:history="1">
        <w:r w:rsidR="00CC7613" w:rsidRPr="00273D00">
          <w:rPr>
            <w:rStyle w:val="Hyperlink"/>
          </w:rPr>
          <w:t>TAAP Service Delivery Model (Word, 295KB)</w:t>
        </w:r>
      </w:hyperlink>
      <w:r w:rsidR="00CC7613">
        <w:t xml:space="preserve"> (</w:t>
      </w:r>
      <w:r w:rsidR="00CC7613" w:rsidRPr="00D73CA4">
        <w:t>https://www.consumer.vic.gov.au/library/forms/clubs-and-not-for-profits/grants/taap-service-delivery-model-2017-21.doc</w:t>
      </w:r>
      <w:r w:rsidR="00CC7613">
        <w:t>)</w:t>
      </w:r>
    </w:p>
    <w:p w:rsidR="00CC7613" w:rsidRDefault="005A71B7" w:rsidP="00CC7613">
      <w:pPr>
        <w:pStyle w:val="ListBullet2"/>
        <w:numPr>
          <w:ilvl w:val="0"/>
          <w:numId w:val="0"/>
        </w:numPr>
      </w:pPr>
      <w:hyperlink r:id="rId25" w:history="1">
        <w:r w:rsidR="00CC7613" w:rsidRPr="00273D00">
          <w:rPr>
            <w:rStyle w:val="Hyperlink"/>
          </w:rPr>
          <w:t>TAAP Draft Schedule to Funding Agreement (Word, 147KB)</w:t>
        </w:r>
      </w:hyperlink>
      <w:r w:rsidR="00CC7613">
        <w:t xml:space="preserve"> (</w:t>
      </w:r>
      <w:r w:rsidR="00CC7613" w:rsidRPr="00D73CA4">
        <w:t>https://www.consumer.vic.gov.au/library/forms/clubs-and-not-for-profits/grants/taap-draft-schedule-to-funding-agreement-2017-21.docx</w:t>
      </w:r>
      <w:r w:rsidR="00CC7613">
        <w:t>)</w:t>
      </w:r>
    </w:p>
    <w:p w:rsidR="00CC7613" w:rsidRDefault="005A71B7" w:rsidP="00CC7613">
      <w:pPr>
        <w:pStyle w:val="ListBullet2"/>
        <w:numPr>
          <w:ilvl w:val="0"/>
          <w:numId w:val="0"/>
        </w:numPr>
      </w:pPr>
      <w:hyperlink r:id="rId26" w:history="1">
        <w:r w:rsidR="00CC7613" w:rsidRPr="00273D00">
          <w:rPr>
            <w:rStyle w:val="Hyperlink"/>
          </w:rPr>
          <w:t xml:space="preserve">TAAP Application Guide (Word, </w:t>
        </w:r>
        <w:r w:rsidR="00CC7613">
          <w:rPr>
            <w:rStyle w:val="Hyperlink"/>
          </w:rPr>
          <w:t>59</w:t>
        </w:r>
        <w:r w:rsidR="00CC7613" w:rsidRPr="00273D00">
          <w:rPr>
            <w:rStyle w:val="Hyperlink"/>
          </w:rPr>
          <w:t>KB)</w:t>
        </w:r>
      </w:hyperlink>
      <w:r w:rsidR="00CC7613">
        <w:t xml:space="preserve"> (</w:t>
      </w:r>
      <w:r w:rsidR="00CC7613" w:rsidRPr="00D73CA4">
        <w:t>https://www.consumer.vic.gov.au/library/forms/clubs-and-not-for-profits/grants/taap-application-guide-2017-21.docx</w:t>
      </w:r>
      <w:r w:rsidR="00CC7613">
        <w:t>)</w:t>
      </w:r>
    </w:p>
    <w:p w:rsidR="00B84247" w:rsidRPr="00CC7613" w:rsidRDefault="005A71B7" w:rsidP="00CC7613">
      <w:pPr>
        <w:pStyle w:val="ListBullet2"/>
        <w:numPr>
          <w:ilvl w:val="0"/>
          <w:numId w:val="0"/>
        </w:numPr>
      </w:pPr>
      <w:hyperlink r:id="rId27" w:history="1">
        <w:r w:rsidR="00CC7613" w:rsidRPr="00F81C3A">
          <w:rPr>
            <w:rStyle w:val="Hyperlink"/>
          </w:rPr>
          <w:t>TAAP Application – Response to Request for Service (Word, 316KB)</w:t>
        </w:r>
      </w:hyperlink>
      <w:r w:rsidR="00CC7613">
        <w:t xml:space="preserve"> (</w:t>
      </w:r>
      <w:r w:rsidR="00CC7613" w:rsidRPr="00D73CA4">
        <w:t>https://www.consumer.vic.gov.au/library/forms/clubs-and-not-for-profits/grants/taap-application-response-to-request-for-service-2017-21.doc</w:t>
      </w:r>
      <w:r w:rsidR="00CC7613">
        <w:t>)</w:t>
      </w:r>
    </w:p>
    <w:sectPr w:rsidR="00B84247" w:rsidRPr="00CC7613" w:rsidSect="006D6636">
      <w:footerReference w:type="default" r:id="rId28"/>
      <w:footerReference w:type="first" r:id="rId29"/>
      <w:type w:val="continuous"/>
      <w:pgSz w:w="11906" w:h="16838" w:code="9"/>
      <w:pgMar w:top="1134" w:right="1134" w:bottom="1134" w:left="1134" w:header="567" w:footer="567"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6B" w:rsidRDefault="0081396B">
      <w:r>
        <w:separator/>
      </w:r>
    </w:p>
    <w:p w:rsidR="0081396B" w:rsidRDefault="0081396B"/>
  </w:endnote>
  <w:endnote w:type="continuationSeparator" w:id="0">
    <w:p w:rsidR="0081396B" w:rsidRDefault="0081396B">
      <w:r>
        <w:continuationSeparator/>
      </w:r>
    </w:p>
    <w:p w:rsidR="0081396B" w:rsidRDefault="00813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73" w:rsidRPr="006E0E13" w:rsidRDefault="005A71B7" w:rsidP="006E0E13">
    <w:pPr>
      <w:pStyle w:val="Footer"/>
      <w:tabs>
        <w:tab w:val="clear" w:pos="5387"/>
        <w:tab w:val="center" w:pos="4536"/>
        <w:tab w:val="right" w:pos="9638"/>
      </w:tabs>
      <w:jc w:val="right"/>
    </w:pPr>
    <w:hyperlink r:id="rId1" w:history="1">
      <w:r w:rsidR="006E0E13" w:rsidRPr="001451F5">
        <w:rPr>
          <w:sz w:val="22"/>
          <w:szCs w:val="22"/>
        </w:rPr>
        <w:t>consumer.vic.gov.au</w:t>
      </w:r>
    </w:hyperlink>
    <w:r w:rsidR="006E0E13" w:rsidRPr="001451F5">
      <w:rPr>
        <w:sz w:val="22"/>
        <w:szCs w:val="22"/>
      </w:rPr>
      <w:t>/</w:t>
    </w:r>
    <w:r w:rsidR="00AF7250" w:rsidRPr="001451F5">
      <w:rPr>
        <w:sz w:val="22"/>
        <w:szCs w:val="22"/>
      </w:rPr>
      <w:t>taap</w:t>
    </w:r>
    <w:r w:rsidR="006E0E13">
      <w:tab/>
    </w:r>
    <w:r w:rsidR="0079497C" w:rsidRPr="0079497C">
      <w:rPr>
        <w:sz w:val="18"/>
        <w:szCs w:val="18"/>
      </w:rPr>
      <w:t xml:space="preserve">Page </w:t>
    </w:r>
    <w:r w:rsidR="0079497C" w:rsidRPr="0079497C">
      <w:rPr>
        <w:b/>
        <w:bCs/>
        <w:sz w:val="18"/>
        <w:szCs w:val="18"/>
      </w:rPr>
      <w:fldChar w:fldCharType="begin"/>
    </w:r>
    <w:r w:rsidR="0079497C" w:rsidRPr="0079497C">
      <w:rPr>
        <w:b/>
        <w:bCs/>
        <w:sz w:val="18"/>
        <w:szCs w:val="18"/>
      </w:rPr>
      <w:instrText xml:space="preserve"> PAGE  \* Arabic  \* MERGEFORMAT </w:instrText>
    </w:r>
    <w:r w:rsidR="0079497C" w:rsidRPr="0079497C">
      <w:rPr>
        <w:b/>
        <w:bCs/>
        <w:sz w:val="18"/>
        <w:szCs w:val="18"/>
      </w:rPr>
      <w:fldChar w:fldCharType="separate"/>
    </w:r>
    <w:r>
      <w:rPr>
        <w:b/>
        <w:bCs/>
        <w:noProof/>
        <w:sz w:val="18"/>
        <w:szCs w:val="18"/>
      </w:rPr>
      <w:t>10</w:t>
    </w:r>
    <w:r w:rsidR="0079497C" w:rsidRPr="0079497C">
      <w:rPr>
        <w:b/>
        <w:bCs/>
        <w:sz w:val="18"/>
        <w:szCs w:val="18"/>
      </w:rPr>
      <w:fldChar w:fldCharType="end"/>
    </w:r>
    <w:r w:rsidR="0079497C" w:rsidRPr="0079497C">
      <w:rPr>
        <w:sz w:val="18"/>
        <w:szCs w:val="18"/>
      </w:rPr>
      <w:t xml:space="preserve"> of</w:t>
    </w:r>
    <w:r w:rsidR="0079497C">
      <w:t xml:space="preserve"> </w:t>
    </w:r>
    <w:r w:rsidR="0079497C" w:rsidRPr="0079497C">
      <w:rPr>
        <w:b/>
        <w:bCs/>
        <w:sz w:val="18"/>
        <w:szCs w:val="18"/>
      </w:rPr>
      <w:fldChar w:fldCharType="begin"/>
    </w:r>
    <w:r w:rsidR="0079497C" w:rsidRPr="0079497C">
      <w:rPr>
        <w:b/>
        <w:bCs/>
        <w:sz w:val="18"/>
        <w:szCs w:val="18"/>
      </w:rPr>
      <w:instrText xml:space="preserve"> NUMPAGES  \* Arabic  \* MERGEFORMAT </w:instrText>
    </w:r>
    <w:r w:rsidR="0079497C" w:rsidRPr="0079497C">
      <w:rPr>
        <w:b/>
        <w:bCs/>
        <w:sz w:val="18"/>
        <w:szCs w:val="18"/>
      </w:rPr>
      <w:fldChar w:fldCharType="separate"/>
    </w:r>
    <w:r>
      <w:rPr>
        <w:b/>
        <w:bCs/>
        <w:noProof/>
        <w:sz w:val="18"/>
        <w:szCs w:val="18"/>
      </w:rPr>
      <w:t>10</w:t>
    </w:r>
    <w:r w:rsidR="0079497C" w:rsidRPr="0079497C">
      <w:rPr>
        <w:b/>
        <w:bCs/>
        <w:sz w:val="18"/>
        <w:szCs w:val="18"/>
      </w:rPr>
      <w:fldChar w:fldCharType="end"/>
    </w:r>
    <w:r w:rsidR="006E0E13" w:rsidRPr="00E6786F">
      <w:rPr>
        <w:b/>
        <w:bCs/>
        <w:sz w:val="18"/>
        <w:szCs w:val="18"/>
      </w:rPr>
      <w:tab/>
    </w:r>
    <w:r w:rsidR="006E0E13" w:rsidRPr="00B6136A">
      <w:rPr>
        <w:rFonts w:cs="Helv"/>
        <w:b/>
        <w:noProof/>
        <w:color w:val="FF0000"/>
      </w:rPr>
      <w:drawing>
        <wp:inline distT="0" distB="0" distL="0" distR="0" wp14:anchorId="26C3812D" wp14:editId="353F5C3D">
          <wp:extent cx="1666875" cy="466725"/>
          <wp:effectExtent l="0" t="0" r="9525" b="9525"/>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13" w:rsidRPr="006E0E13" w:rsidRDefault="005A71B7" w:rsidP="006E0E13">
    <w:pPr>
      <w:pStyle w:val="Footer"/>
      <w:tabs>
        <w:tab w:val="clear" w:pos="5387"/>
        <w:tab w:val="center" w:pos="4536"/>
        <w:tab w:val="right" w:pos="9638"/>
      </w:tabs>
      <w:jc w:val="right"/>
    </w:pPr>
    <w:hyperlink r:id="rId1" w:history="1">
      <w:r w:rsidR="006E0E13" w:rsidRPr="001451F5">
        <w:rPr>
          <w:sz w:val="22"/>
          <w:szCs w:val="22"/>
        </w:rPr>
        <w:t>consumer.vic.gov.au</w:t>
      </w:r>
    </w:hyperlink>
    <w:r w:rsidR="006E0E13" w:rsidRPr="001451F5">
      <w:rPr>
        <w:sz w:val="22"/>
        <w:szCs w:val="22"/>
      </w:rPr>
      <w:t>/</w:t>
    </w:r>
    <w:r w:rsidR="00AF7250" w:rsidRPr="001451F5">
      <w:rPr>
        <w:sz w:val="22"/>
        <w:szCs w:val="22"/>
      </w:rPr>
      <w:t>taap</w:t>
    </w:r>
    <w:r w:rsidR="006E0E13">
      <w:tab/>
    </w:r>
    <w:r w:rsidR="006E0E13" w:rsidRPr="00E6786F">
      <w:rPr>
        <w:b/>
        <w:bCs/>
        <w:sz w:val="18"/>
        <w:szCs w:val="18"/>
      </w:rPr>
      <w:tab/>
    </w:r>
    <w:r w:rsidR="006E0E13" w:rsidRPr="00B6136A">
      <w:rPr>
        <w:rFonts w:cs="Helv"/>
        <w:b/>
        <w:noProof/>
        <w:color w:val="FF0000"/>
      </w:rPr>
      <w:drawing>
        <wp:inline distT="0" distB="0" distL="0" distR="0" wp14:anchorId="40112516" wp14:editId="6CC88A78">
          <wp:extent cx="1666875" cy="466725"/>
          <wp:effectExtent l="0" t="0" r="9525" b="9525"/>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510F74" w:rsidRPr="004A46ED" w:rsidRDefault="004A46ED" w:rsidP="00A818C0">
    <w:pPr>
      <w:pStyle w:val="Footer"/>
      <w:tabs>
        <w:tab w:val="clear" w:pos="10773"/>
        <w:tab w:val="right" w:pos="9638"/>
      </w:tabs>
    </w:pPr>
    <w:r>
      <w:tab/>
    </w:r>
    <w:r w:rsidR="00A818C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6B" w:rsidRDefault="0081396B">
      <w:r>
        <w:separator/>
      </w:r>
    </w:p>
    <w:p w:rsidR="0081396B" w:rsidRDefault="0081396B"/>
  </w:footnote>
  <w:footnote w:type="continuationSeparator" w:id="0">
    <w:p w:rsidR="0081396B" w:rsidRDefault="0081396B">
      <w:r>
        <w:continuationSeparator/>
      </w:r>
    </w:p>
    <w:p w:rsidR="0081396B" w:rsidRDefault="008139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2">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4">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5">
    <w:nsid w:val="FFFFFF89"/>
    <w:multiLevelType w:val="singleLevel"/>
    <w:tmpl w:val="AFF4D8A0"/>
    <w:lvl w:ilvl="0">
      <w:start w:val="1"/>
      <w:numFmt w:val="bullet"/>
      <w:pStyle w:val="ListBullet"/>
      <w:lvlText w:val=""/>
      <w:lvlJc w:val="left"/>
      <w:pPr>
        <w:ind w:left="227" w:hanging="227"/>
      </w:pPr>
      <w:rPr>
        <w:rFonts w:ascii="Symbol" w:hAnsi="Symbol" w:hint="default"/>
      </w:rPr>
    </w:lvl>
  </w:abstractNum>
  <w:abstractNum w:abstractNumId="6">
    <w:nsid w:val="01D6223C"/>
    <w:multiLevelType w:val="hybridMultilevel"/>
    <w:tmpl w:val="FDCABC2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3D52DBF"/>
    <w:multiLevelType w:val="hybridMultilevel"/>
    <w:tmpl w:val="8376A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4"/>
  </w:num>
  <w:num w:numId="4">
    <w:abstractNumId w:val="5"/>
  </w:num>
  <w:num w:numId="5">
    <w:abstractNumId w:val="4"/>
  </w:num>
  <w:num w:numId="6">
    <w:abstractNumId w:val="3"/>
  </w:num>
  <w:num w:numId="7">
    <w:abstractNumId w:val="2"/>
  </w:num>
  <w:num w:numId="8">
    <w:abstractNumId w:val="1"/>
  </w:num>
  <w:num w:numId="9">
    <w:abstractNumId w:val="0"/>
  </w:num>
  <w:num w:numId="10">
    <w:abstractNumId w:val="8"/>
  </w:num>
  <w:num w:numId="11">
    <w:abstractNumId w:val="4"/>
  </w:num>
  <w:num w:numId="12">
    <w:abstractNumId w:val="5"/>
  </w:num>
  <w:num w:numId="13">
    <w:abstractNumId w:val="5"/>
  </w:num>
  <w:num w:numId="14">
    <w:abstractNumId w:val="6"/>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5388"/>
    <w:rsid w:val="00006409"/>
    <w:rsid w:val="00006D6D"/>
    <w:rsid w:val="000150F1"/>
    <w:rsid w:val="000160F0"/>
    <w:rsid w:val="000167BA"/>
    <w:rsid w:val="000168A1"/>
    <w:rsid w:val="000220CA"/>
    <w:rsid w:val="000355C2"/>
    <w:rsid w:val="00037484"/>
    <w:rsid w:val="00037895"/>
    <w:rsid w:val="000422C4"/>
    <w:rsid w:val="00043557"/>
    <w:rsid w:val="00046307"/>
    <w:rsid w:val="0005028B"/>
    <w:rsid w:val="0005581F"/>
    <w:rsid w:val="00056795"/>
    <w:rsid w:val="00056A2B"/>
    <w:rsid w:val="00056F69"/>
    <w:rsid w:val="0006239C"/>
    <w:rsid w:val="0006318E"/>
    <w:rsid w:val="00066F81"/>
    <w:rsid w:val="00067AA8"/>
    <w:rsid w:val="0007437B"/>
    <w:rsid w:val="0008023F"/>
    <w:rsid w:val="00080E8C"/>
    <w:rsid w:val="00081FAA"/>
    <w:rsid w:val="00085AFF"/>
    <w:rsid w:val="000862CA"/>
    <w:rsid w:val="00095275"/>
    <w:rsid w:val="00096EA8"/>
    <w:rsid w:val="000A05C2"/>
    <w:rsid w:val="000A1E6A"/>
    <w:rsid w:val="000A280C"/>
    <w:rsid w:val="000A4445"/>
    <w:rsid w:val="000A5E17"/>
    <w:rsid w:val="000A6C1A"/>
    <w:rsid w:val="000B00CF"/>
    <w:rsid w:val="000B4BED"/>
    <w:rsid w:val="000B5EDC"/>
    <w:rsid w:val="000B65D4"/>
    <w:rsid w:val="000B7347"/>
    <w:rsid w:val="000B7E4C"/>
    <w:rsid w:val="000C2798"/>
    <w:rsid w:val="000C3171"/>
    <w:rsid w:val="000C5903"/>
    <w:rsid w:val="000C620E"/>
    <w:rsid w:val="000C7107"/>
    <w:rsid w:val="000C7A60"/>
    <w:rsid w:val="000D46C3"/>
    <w:rsid w:val="000D780B"/>
    <w:rsid w:val="000D7EA7"/>
    <w:rsid w:val="000E0C11"/>
    <w:rsid w:val="000E2C64"/>
    <w:rsid w:val="000E3132"/>
    <w:rsid w:val="000E3EE0"/>
    <w:rsid w:val="000E5829"/>
    <w:rsid w:val="000E69CF"/>
    <w:rsid w:val="001011A2"/>
    <w:rsid w:val="001026AF"/>
    <w:rsid w:val="00103A0B"/>
    <w:rsid w:val="00106914"/>
    <w:rsid w:val="0011355C"/>
    <w:rsid w:val="00117A6F"/>
    <w:rsid w:val="0012093B"/>
    <w:rsid w:val="00121599"/>
    <w:rsid w:val="0012684E"/>
    <w:rsid w:val="00126958"/>
    <w:rsid w:val="00127028"/>
    <w:rsid w:val="00130354"/>
    <w:rsid w:val="0013045E"/>
    <w:rsid w:val="0013188A"/>
    <w:rsid w:val="00134668"/>
    <w:rsid w:val="001362C5"/>
    <w:rsid w:val="001424CD"/>
    <w:rsid w:val="00142C70"/>
    <w:rsid w:val="00143223"/>
    <w:rsid w:val="00143750"/>
    <w:rsid w:val="001438EB"/>
    <w:rsid w:val="001451F5"/>
    <w:rsid w:val="0014737F"/>
    <w:rsid w:val="0015183D"/>
    <w:rsid w:val="00151CDA"/>
    <w:rsid w:val="00151FFF"/>
    <w:rsid w:val="00152EAE"/>
    <w:rsid w:val="001530A6"/>
    <w:rsid w:val="001561E8"/>
    <w:rsid w:val="0016060A"/>
    <w:rsid w:val="0016458D"/>
    <w:rsid w:val="00165E75"/>
    <w:rsid w:val="00167AA0"/>
    <w:rsid w:val="0017595D"/>
    <w:rsid w:val="00175B1C"/>
    <w:rsid w:val="00175C76"/>
    <w:rsid w:val="00176A29"/>
    <w:rsid w:val="00177D4C"/>
    <w:rsid w:val="0018434F"/>
    <w:rsid w:val="00185BEB"/>
    <w:rsid w:val="00187BFE"/>
    <w:rsid w:val="0019230E"/>
    <w:rsid w:val="00193C70"/>
    <w:rsid w:val="0019654D"/>
    <w:rsid w:val="001A277F"/>
    <w:rsid w:val="001B44A6"/>
    <w:rsid w:val="001B47B8"/>
    <w:rsid w:val="001B5F47"/>
    <w:rsid w:val="001C0C14"/>
    <w:rsid w:val="001C48D7"/>
    <w:rsid w:val="001D2FE7"/>
    <w:rsid w:val="001D3358"/>
    <w:rsid w:val="001D5AC2"/>
    <w:rsid w:val="001E2177"/>
    <w:rsid w:val="001E59E9"/>
    <w:rsid w:val="001E6366"/>
    <w:rsid w:val="001F1F8E"/>
    <w:rsid w:val="001F260E"/>
    <w:rsid w:val="001F7271"/>
    <w:rsid w:val="00202EED"/>
    <w:rsid w:val="0020362C"/>
    <w:rsid w:val="00204C8D"/>
    <w:rsid w:val="002130E8"/>
    <w:rsid w:val="00213B65"/>
    <w:rsid w:val="00217211"/>
    <w:rsid w:val="0022011C"/>
    <w:rsid w:val="00220917"/>
    <w:rsid w:val="00220BFA"/>
    <w:rsid w:val="002222D5"/>
    <w:rsid w:val="00222C13"/>
    <w:rsid w:val="00226D33"/>
    <w:rsid w:val="00226E3E"/>
    <w:rsid w:val="00230BBE"/>
    <w:rsid w:val="002325A7"/>
    <w:rsid w:val="00233F44"/>
    <w:rsid w:val="0024319C"/>
    <w:rsid w:val="0024452E"/>
    <w:rsid w:val="00245921"/>
    <w:rsid w:val="00245CB9"/>
    <w:rsid w:val="00250A4D"/>
    <w:rsid w:val="00251536"/>
    <w:rsid w:val="00254903"/>
    <w:rsid w:val="00254AB9"/>
    <w:rsid w:val="0026293D"/>
    <w:rsid w:val="0026293E"/>
    <w:rsid w:val="0026346A"/>
    <w:rsid w:val="002645FC"/>
    <w:rsid w:val="002660A7"/>
    <w:rsid w:val="0026624C"/>
    <w:rsid w:val="00271E00"/>
    <w:rsid w:val="00272803"/>
    <w:rsid w:val="002749A3"/>
    <w:rsid w:val="00275B66"/>
    <w:rsid w:val="00275ECB"/>
    <w:rsid w:val="00276618"/>
    <w:rsid w:val="00277089"/>
    <w:rsid w:val="00277347"/>
    <w:rsid w:val="002778E8"/>
    <w:rsid w:val="00277DCB"/>
    <w:rsid w:val="002828A7"/>
    <w:rsid w:val="00285E9F"/>
    <w:rsid w:val="002867A9"/>
    <w:rsid w:val="00286926"/>
    <w:rsid w:val="0028766F"/>
    <w:rsid w:val="0029246A"/>
    <w:rsid w:val="00292A69"/>
    <w:rsid w:val="00294C52"/>
    <w:rsid w:val="002A1F82"/>
    <w:rsid w:val="002A2A8C"/>
    <w:rsid w:val="002B0278"/>
    <w:rsid w:val="002B1C94"/>
    <w:rsid w:val="002B2E5A"/>
    <w:rsid w:val="002B2F0C"/>
    <w:rsid w:val="002B30F2"/>
    <w:rsid w:val="002B4410"/>
    <w:rsid w:val="002C6B45"/>
    <w:rsid w:val="002C7148"/>
    <w:rsid w:val="002D243D"/>
    <w:rsid w:val="002D4DC2"/>
    <w:rsid w:val="002D51D9"/>
    <w:rsid w:val="002D78BC"/>
    <w:rsid w:val="002E02B0"/>
    <w:rsid w:val="002E0A5D"/>
    <w:rsid w:val="002E1AED"/>
    <w:rsid w:val="002E3CC7"/>
    <w:rsid w:val="002E7161"/>
    <w:rsid w:val="002E79FA"/>
    <w:rsid w:val="002F1B76"/>
    <w:rsid w:val="002F64C1"/>
    <w:rsid w:val="002F6912"/>
    <w:rsid w:val="002F7CDD"/>
    <w:rsid w:val="00300E5B"/>
    <w:rsid w:val="003035FD"/>
    <w:rsid w:val="00304C16"/>
    <w:rsid w:val="00307DEC"/>
    <w:rsid w:val="003102FE"/>
    <w:rsid w:val="00311BA5"/>
    <w:rsid w:val="00312022"/>
    <w:rsid w:val="00320782"/>
    <w:rsid w:val="0032298B"/>
    <w:rsid w:val="00323759"/>
    <w:rsid w:val="0032410C"/>
    <w:rsid w:val="00324842"/>
    <w:rsid w:val="00325F2C"/>
    <w:rsid w:val="00326ED2"/>
    <w:rsid w:val="00330CC8"/>
    <w:rsid w:val="00335793"/>
    <w:rsid w:val="00336404"/>
    <w:rsid w:val="00336A96"/>
    <w:rsid w:val="0034343A"/>
    <w:rsid w:val="003435C6"/>
    <w:rsid w:val="00346A3D"/>
    <w:rsid w:val="00353DC2"/>
    <w:rsid w:val="003551C8"/>
    <w:rsid w:val="00355566"/>
    <w:rsid w:val="00356C19"/>
    <w:rsid w:val="003576F1"/>
    <w:rsid w:val="00357B57"/>
    <w:rsid w:val="00365BE5"/>
    <w:rsid w:val="00370DFB"/>
    <w:rsid w:val="00375E18"/>
    <w:rsid w:val="0037704E"/>
    <w:rsid w:val="00392140"/>
    <w:rsid w:val="00396AC2"/>
    <w:rsid w:val="00397C7D"/>
    <w:rsid w:val="003A0694"/>
    <w:rsid w:val="003A2659"/>
    <w:rsid w:val="003A2AC9"/>
    <w:rsid w:val="003A5AC7"/>
    <w:rsid w:val="003A6624"/>
    <w:rsid w:val="003A6DFB"/>
    <w:rsid w:val="003B019C"/>
    <w:rsid w:val="003B2B25"/>
    <w:rsid w:val="003B5495"/>
    <w:rsid w:val="003B567D"/>
    <w:rsid w:val="003B6EEB"/>
    <w:rsid w:val="003C03A6"/>
    <w:rsid w:val="003C2C28"/>
    <w:rsid w:val="003C3F1B"/>
    <w:rsid w:val="003D1BC0"/>
    <w:rsid w:val="003D1C95"/>
    <w:rsid w:val="003D25A6"/>
    <w:rsid w:val="003D4A4F"/>
    <w:rsid w:val="003E0B9D"/>
    <w:rsid w:val="003E544D"/>
    <w:rsid w:val="003E60DE"/>
    <w:rsid w:val="003E7037"/>
    <w:rsid w:val="003F3043"/>
    <w:rsid w:val="003F3404"/>
    <w:rsid w:val="003F3BF0"/>
    <w:rsid w:val="003F5034"/>
    <w:rsid w:val="0040260C"/>
    <w:rsid w:val="00404089"/>
    <w:rsid w:val="00406892"/>
    <w:rsid w:val="004101B5"/>
    <w:rsid w:val="004115A1"/>
    <w:rsid w:val="00411698"/>
    <w:rsid w:val="0041515A"/>
    <w:rsid w:val="00415DF2"/>
    <w:rsid w:val="00417260"/>
    <w:rsid w:val="00432BFC"/>
    <w:rsid w:val="00433E01"/>
    <w:rsid w:val="00435192"/>
    <w:rsid w:val="00436138"/>
    <w:rsid w:val="004412AB"/>
    <w:rsid w:val="00443192"/>
    <w:rsid w:val="00443AE0"/>
    <w:rsid w:val="00444B97"/>
    <w:rsid w:val="00445223"/>
    <w:rsid w:val="00446BA5"/>
    <w:rsid w:val="00450CFF"/>
    <w:rsid w:val="00451315"/>
    <w:rsid w:val="00452E38"/>
    <w:rsid w:val="004564E9"/>
    <w:rsid w:val="00461AB9"/>
    <w:rsid w:val="00462315"/>
    <w:rsid w:val="00462ED7"/>
    <w:rsid w:val="004639CE"/>
    <w:rsid w:val="004660C6"/>
    <w:rsid w:val="00467231"/>
    <w:rsid w:val="00467FB0"/>
    <w:rsid w:val="00473E0E"/>
    <w:rsid w:val="0047769D"/>
    <w:rsid w:val="00482C9D"/>
    <w:rsid w:val="00483049"/>
    <w:rsid w:val="004832C7"/>
    <w:rsid w:val="004862C3"/>
    <w:rsid w:val="00487B5C"/>
    <w:rsid w:val="00493982"/>
    <w:rsid w:val="00494230"/>
    <w:rsid w:val="004A09F3"/>
    <w:rsid w:val="004A0C32"/>
    <w:rsid w:val="004A0D0C"/>
    <w:rsid w:val="004A1891"/>
    <w:rsid w:val="004A46ED"/>
    <w:rsid w:val="004A6437"/>
    <w:rsid w:val="004B244A"/>
    <w:rsid w:val="004B3730"/>
    <w:rsid w:val="004B3937"/>
    <w:rsid w:val="004B3D9D"/>
    <w:rsid w:val="004B7F87"/>
    <w:rsid w:val="004C1FA9"/>
    <w:rsid w:val="004C2B9A"/>
    <w:rsid w:val="004C2D1C"/>
    <w:rsid w:val="004C3A96"/>
    <w:rsid w:val="004C467F"/>
    <w:rsid w:val="004C530C"/>
    <w:rsid w:val="004C559E"/>
    <w:rsid w:val="004C5608"/>
    <w:rsid w:val="004C620C"/>
    <w:rsid w:val="004D4603"/>
    <w:rsid w:val="004E444A"/>
    <w:rsid w:val="004E486A"/>
    <w:rsid w:val="004E5C0F"/>
    <w:rsid w:val="004E5D70"/>
    <w:rsid w:val="004E7B70"/>
    <w:rsid w:val="004F1C98"/>
    <w:rsid w:val="004F2160"/>
    <w:rsid w:val="004F5654"/>
    <w:rsid w:val="004F7D07"/>
    <w:rsid w:val="00501F1A"/>
    <w:rsid w:val="00503C5C"/>
    <w:rsid w:val="00503E7C"/>
    <w:rsid w:val="005055F8"/>
    <w:rsid w:val="00505DF7"/>
    <w:rsid w:val="005076EB"/>
    <w:rsid w:val="00510F74"/>
    <w:rsid w:val="00512239"/>
    <w:rsid w:val="00517A0A"/>
    <w:rsid w:val="00517A18"/>
    <w:rsid w:val="00517F6B"/>
    <w:rsid w:val="0052285C"/>
    <w:rsid w:val="005268B2"/>
    <w:rsid w:val="00537FF8"/>
    <w:rsid w:val="00543073"/>
    <w:rsid w:val="00547023"/>
    <w:rsid w:val="0054782B"/>
    <w:rsid w:val="00552BA8"/>
    <w:rsid w:val="00554168"/>
    <w:rsid w:val="005545CA"/>
    <w:rsid w:val="00561FC3"/>
    <w:rsid w:val="00562A61"/>
    <w:rsid w:val="00562BA1"/>
    <w:rsid w:val="00564978"/>
    <w:rsid w:val="00564F67"/>
    <w:rsid w:val="0056718C"/>
    <w:rsid w:val="00570371"/>
    <w:rsid w:val="00574759"/>
    <w:rsid w:val="00574FF7"/>
    <w:rsid w:val="005755C6"/>
    <w:rsid w:val="005768A4"/>
    <w:rsid w:val="00577013"/>
    <w:rsid w:val="00580C9E"/>
    <w:rsid w:val="00581D61"/>
    <w:rsid w:val="00583950"/>
    <w:rsid w:val="00583BBB"/>
    <w:rsid w:val="00587D1A"/>
    <w:rsid w:val="0059064C"/>
    <w:rsid w:val="00591D58"/>
    <w:rsid w:val="00592270"/>
    <w:rsid w:val="00595524"/>
    <w:rsid w:val="005A1056"/>
    <w:rsid w:val="005A2426"/>
    <w:rsid w:val="005A4BDE"/>
    <w:rsid w:val="005A71B7"/>
    <w:rsid w:val="005B02D1"/>
    <w:rsid w:val="005B1058"/>
    <w:rsid w:val="005B6073"/>
    <w:rsid w:val="005B7F0A"/>
    <w:rsid w:val="005C26AA"/>
    <w:rsid w:val="005C38B5"/>
    <w:rsid w:val="005C4493"/>
    <w:rsid w:val="005C4D70"/>
    <w:rsid w:val="005C71EE"/>
    <w:rsid w:val="005C7735"/>
    <w:rsid w:val="005D2B92"/>
    <w:rsid w:val="005D58A5"/>
    <w:rsid w:val="005D7242"/>
    <w:rsid w:val="005E1668"/>
    <w:rsid w:val="005E2A83"/>
    <w:rsid w:val="005E3D71"/>
    <w:rsid w:val="005E7960"/>
    <w:rsid w:val="005F4E94"/>
    <w:rsid w:val="005F5DC6"/>
    <w:rsid w:val="006013E6"/>
    <w:rsid w:val="00602362"/>
    <w:rsid w:val="00602919"/>
    <w:rsid w:val="00605174"/>
    <w:rsid w:val="006059E2"/>
    <w:rsid w:val="00605FDC"/>
    <w:rsid w:val="0061180A"/>
    <w:rsid w:val="006130D5"/>
    <w:rsid w:val="00613C8D"/>
    <w:rsid w:val="00615BBC"/>
    <w:rsid w:val="006226DE"/>
    <w:rsid w:val="00624AEA"/>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284B"/>
    <w:rsid w:val="00675403"/>
    <w:rsid w:val="00677A37"/>
    <w:rsid w:val="00682855"/>
    <w:rsid w:val="00683199"/>
    <w:rsid w:val="00683DA8"/>
    <w:rsid w:val="006844C6"/>
    <w:rsid w:val="006848DA"/>
    <w:rsid w:val="006918F7"/>
    <w:rsid w:val="00692736"/>
    <w:rsid w:val="006956E0"/>
    <w:rsid w:val="00695BAC"/>
    <w:rsid w:val="006B3039"/>
    <w:rsid w:val="006B46D0"/>
    <w:rsid w:val="006B4F0B"/>
    <w:rsid w:val="006B61D3"/>
    <w:rsid w:val="006C350C"/>
    <w:rsid w:val="006C778C"/>
    <w:rsid w:val="006C7C7F"/>
    <w:rsid w:val="006D11AD"/>
    <w:rsid w:val="006D44B0"/>
    <w:rsid w:val="006D6636"/>
    <w:rsid w:val="006D6AFD"/>
    <w:rsid w:val="006E0E13"/>
    <w:rsid w:val="006E0F77"/>
    <w:rsid w:val="006E3FC4"/>
    <w:rsid w:val="006E5263"/>
    <w:rsid w:val="006E556F"/>
    <w:rsid w:val="006F098C"/>
    <w:rsid w:val="006F0AE0"/>
    <w:rsid w:val="006F0D9B"/>
    <w:rsid w:val="006F2D93"/>
    <w:rsid w:val="006F6AF1"/>
    <w:rsid w:val="00702FF1"/>
    <w:rsid w:val="00704578"/>
    <w:rsid w:val="00706562"/>
    <w:rsid w:val="00706650"/>
    <w:rsid w:val="00712650"/>
    <w:rsid w:val="0071380D"/>
    <w:rsid w:val="00723808"/>
    <w:rsid w:val="00727317"/>
    <w:rsid w:val="00733B8C"/>
    <w:rsid w:val="00737D7F"/>
    <w:rsid w:val="00741010"/>
    <w:rsid w:val="00741054"/>
    <w:rsid w:val="00742B1A"/>
    <w:rsid w:val="00744044"/>
    <w:rsid w:val="00745E1A"/>
    <w:rsid w:val="00746873"/>
    <w:rsid w:val="007475B3"/>
    <w:rsid w:val="00747953"/>
    <w:rsid w:val="007506AC"/>
    <w:rsid w:val="0075224F"/>
    <w:rsid w:val="00753304"/>
    <w:rsid w:val="00753D01"/>
    <w:rsid w:val="00755444"/>
    <w:rsid w:val="0075739A"/>
    <w:rsid w:val="00760229"/>
    <w:rsid w:val="00764E72"/>
    <w:rsid w:val="00764E74"/>
    <w:rsid w:val="00766C1C"/>
    <w:rsid w:val="0076708B"/>
    <w:rsid w:val="00770F09"/>
    <w:rsid w:val="00772382"/>
    <w:rsid w:val="007729FB"/>
    <w:rsid w:val="00773CA6"/>
    <w:rsid w:val="007743C4"/>
    <w:rsid w:val="00774477"/>
    <w:rsid w:val="00774817"/>
    <w:rsid w:val="00781129"/>
    <w:rsid w:val="007846F6"/>
    <w:rsid w:val="00785B29"/>
    <w:rsid w:val="007864F0"/>
    <w:rsid w:val="00787B5A"/>
    <w:rsid w:val="00793FFD"/>
    <w:rsid w:val="0079466F"/>
    <w:rsid w:val="0079497C"/>
    <w:rsid w:val="00795A72"/>
    <w:rsid w:val="00797405"/>
    <w:rsid w:val="00797AA2"/>
    <w:rsid w:val="00797CE8"/>
    <w:rsid w:val="007A08EA"/>
    <w:rsid w:val="007A0D87"/>
    <w:rsid w:val="007A17D9"/>
    <w:rsid w:val="007A56EF"/>
    <w:rsid w:val="007A7BC8"/>
    <w:rsid w:val="007B0F3B"/>
    <w:rsid w:val="007B4E27"/>
    <w:rsid w:val="007B5EAE"/>
    <w:rsid w:val="007B6100"/>
    <w:rsid w:val="007B6B29"/>
    <w:rsid w:val="007C0316"/>
    <w:rsid w:val="007C075B"/>
    <w:rsid w:val="007C2551"/>
    <w:rsid w:val="007D27CE"/>
    <w:rsid w:val="007D407F"/>
    <w:rsid w:val="007D4D7B"/>
    <w:rsid w:val="007E1D71"/>
    <w:rsid w:val="007E53CB"/>
    <w:rsid w:val="007E59FE"/>
    <w:rsid w:val="007F1352"/>
    <w:rsid w:val="007F4771"/>
    <w:rsid w:val="007F501C"/>
    <w:rsid w:val="00800233"/>
    <w:rsid w:val="00800C16"/>
    <w:rsid w:val="00801530"/>
    <w:rsid w:val="0080392A"/>
    <w:rsid w:val="00804FF4"/>
    <w:rsid w:val="00807551"/>
    <w:rsid w:val="0081040E"/>
    <w:rsid w:val="00811DAA"/>
    <w:rsid w:val="008137A7"/>
    <w:rsid w:val="0081396B"/>
    <w:rsid w:val="00816BA5"/>
    <w:rsid w:val="00816CC1"/>
    <w:rsid w:val="00824986"/>
    <w:rsid w:val="00825EDE"/>
    <w:rsid w:val="00827BB6"/>
    <w:rsid w:val="008309B1"/>
    <w:rsid w:val="00835486"/>
    <w:rsid w:val="008427EB"/>
    <w:rsid w:val="00842E31"/>
    <w:rsid w:val="00844437"/>
    <w:rsid w:val="008464BD"/>
    <w:rsid w:val="00850C35"/>
    <w:rsid w:val="00853741"/>
    <w:rsid w:val="00853779"/>
    <w:rsid w:val="00856AFE"/>
    <w:rsid w:val="008614E6"/>
    <w:rsid w:val="00865C44"/>
    <w:rsid w:val="008660CA"/>
    <w:rsid w:val="00867B76"/>
    <w:rsid w:val="00872B40"/>
    <w:rsid w:val="0087564C"/>
    <w:rsid w:val="00877974"/>
    <w:rsid w:val="00881665"/>
    <w:rsid w:val="00886B0E"/>
    <w:rsid w:val="00886C98"/>
    <w:rsid w:val="008913E0"/>
    <w:rsid w:val="008A4172"/>
    <w:rsid w:val="008A4880"/>
    <w:rsid w:val="008A5C9C"/>
    <w:rsid w:val="008B113A"/>
    <w:rsid w:val="008B17F9"/>
    <w:rsid w:val="008B26A1"/>
    <w:rsid w:val="008B30DD"/>
    <w:rsid w:val="008C10BE"/>
    <w:rsid w:val="008D323B"/>
    <w:rsid w:val="008E0C3F"/>
    <w:rsid w:val="008E0CFA"/>
    <w:rsid w:val="008E2696"/>
    <w:rsid w:val="008E6160"/>
    <w:rsid w:val="008E6D2D"/>
    <w:rsid w:val="008F1413"/>
    <w:rsid w:val="008F6F5A"/>
    <w:rsid w:val="00900B22"/>
    <w:rsid w:val="00900D28"/>
    <w:rsid w:val="00901425"/>
    <w:rsid w:val="0090600B"/>
    <w:rsid w:val="00907681"/>
    <w:rsid w:val="0091000C"/>
    <w:rsid w:val="0091004A"/>
    <w:rsid w:val="00910244"/>
    <w:rsid w:val="0091169D"/>
    <w:rsid w:val="00913492"/>
    <w:rsid w:val="009139CF"/>
    <w:rsid w:val="00914F87"/>
    <w:rsid w:val="0091626B"/>
    <w:rsid w:val="00921A67"/>
    <w:rsid w:val="009268B0"/>
    <w:rsid w:val="00933E5F"/>
    <w:rsid w:val="00934008"/>
    <w:rsid w:val="00934545"/>
    <w:rsid w:val="009426B2"/>
    <w:rsid w:val="009432AE"/>
    <w:rsid w:val="00944F23"/>
    <w:rsid w:val="00946F7A"/>
    <w:rsid w:val="009478AE"/>
    <w:rsid w:val="00947B6C"/>
    <w:rsid w:val="00951678"/>
    <w:rsid w:val="0095498C"/>
    <w:rsid w:val="00954A66"/>
    <w:rsid w:val="00961E71"/>
    <w:rsid w:val="00962391"/>
    <w:rsid w:val="0096256C"/>
    <w:rsid w:val="00963A6C"/>
    <w:rsid w:val="00963ED8"/>
    <w:rsid w:val="009646FE"/>
    <w:rsid w:val="0096497D"/>
    <w:rsid w:val="0097720D"/>
    <w:rsid w:val="00984372"/>
    <w:rsid w:val="00986FAE"/>
    <w:rsid w:val="00992555"/>
    <w:rsid w:val="009A0177"/>
    <w:rsid w:val="009A1F33"/>
    <w:rsid w:val="009A4F81"/>
    <w:rsid w:val="009A6CF6"/>
    <w:rsid w:val="009B0258"/>
    <w:rsid w:val="009B16E8"/>
    <w:rsid w:val="009B3688"/>
    <w:rsid w:val="009B50A6"/>
    <w:rsid w:val="009C1E63"/>
    <w:rsid w:val="009C66A6"/>
    <w:rsid w:val="009D1194"/>
    <w:rsid w:val="009D15DB"/>
    <w:rsid w:val="009D1EF5"/>
    <w:rsid w:val="009E16F5"/>
    <w:rsid w:val="009E4982"/>
    <w:rsid w:val="009E5BD4"/>
    <w:rsid w:val="009E618B"/>
    <w:rsid w:val="009E69E9"/>
    <w:rsid w:val="009E7072"/>
    <w:rsid w:val="009F36F7"/>
    <w:rsid w:val="009F4AF3"/>
    <w:rsid w:val="009F5922"/>
    <w:rsid w:val="009F653B"/>
    <w:rsid w:val="009F72F8"/>
    <w:rsid w:val="00A00364"/>
    <w:rsid w:val="00A01DB0"/>
    <w:rsid w:val="00A02D84"/>
    <w:rsid w:val="00A034D8"/>
    <w:rsid w:val="00A05BF1"/>
    <w:rsid w:val="00A076F8"/>
    <w:rsid w:val="00A102EA"/>
    <w:rsid w:val="00A10AF1"/>
    <w:rsid w:val="00A11DEC"/>
    <w:rsid w:val="00A146D5"/>
    <w:rsid w:val="00A1765A"/>
    <w:rsid w:val="00A2105C"/>
    <w:rsid w:val="00A22963"/>
    <w:rsid w:val="00A242C5"/>
    <w:rsid w:val="00A2441D"/>
    <w:rsid w:val="00A24741"/>
    <w:rsid w:val="00A30BDB"/>
    <w:rsid w:val="00A31FC9"/>
    <w:rsid w:val="00A32C77"/>
    <w:rsid w:val="00A33581"/>
    <w:rsid w:val="00A36738"/>
    <w:rsid w:val="00A376E9"/>
    <w:rsid w:val="00A4335A"/>
    <w:rsid w:val="00A525EA"/>
    <w:rsid w:val="00A5456C"/>
    <w:rsid w:val="00A55857"/>
    <w:rsid w:val="00A56071"/>
    <w:rsid w:val="00A62E3F"/>
    <w:rsid w:val="00A65CFF"/>
    <w:rsid w:val="00A66A43"/>
    <w:rsid w:val="00A74530"/>
    <w:rsid w:val="00A75811"/>
    <w:rsid w:val="00A776E7"/>
    <w:rsid w:val="00A81024"/>
    <w:rsid w:val="00A818C0"/>
    <w:rsid w:val="00A82530"/>
    <w:rsid w:val="00A82629"/>
    <w:rsid w:val="00A84243"/>
    <w:rsid w:val="00A8471E"/>
    <w:rsid w:val="00A86594"/>
    <w:rsid w:val="00A91F07"/>
    <w:rsid w:val="00A9332C"/>
    <w:rsid w:val="00A93CB6"/>
    <w:rsid w:val="00AA0AF0"/>
    <w:rsid w:val="00AA16A6"/>
    <w:rsid w:val="00AA2964"/>
    <w:rsid w:val="00AA43C3"/>
    <w:rsid w:val="00AA53D9"/>
    <w:rsid w:val="00AA546D"/>
    <w:rsid w:val="00AA5826"/>
    <w:rsid w:val="00AB00FC"/>
    <w:rsid w:val="00AB75A4"/>
    <w:rsid w:val="00AB7CB3"/>
    <w:rsid w:val="00AB7E0D"/>
    <w:rsid w:val="00AC0B36"/>
    <w:rsid w:val="00AC12F3"/>
    <w:rsid w:val="00AC2C68"/>
    <w:rsid w:val="00AE182A"/>
    <w:rsid w:val="00AE682B"/>
    <w:rsid w:val="00AE7802"/>
    <w:rsid w:val="00AF2F9E"/>
    <w:rsid w:val="00AF4899"/>
    <w:rsid w:val="00AF7250"/>
    <w:rsid w:val="00B03DBE"/>
    <w:rsid w:val="00B05649"/>
    <w:rsid w:val="00B05DC6"/>
    <w:rsid w:val="00B07793"/>
    <w:rsid w:val="00B07E44"/>
    <w:rsid w:val="00B10317"/>
    <w:rsid w:val="00B108C3"/>
    <w:rsid w:val="00B130FB"/>
    <w:rsid w:val="00B13355"/>
    <w:rsid w:val="00B13AF4"/>
    <w:rsid w:val="00B17450"/>
    <w:rsid w:val="00B21294"/>
    <w:rsid w:val="00B2218E"/>
    <w:rsid w:val="00B23203"/>
    <w:rsid w:val="00B34604"/>
    <w:rsid w:val="00B35212"/>
    <w:rsid w:val="00B41B8B"/>
    <w:rsid w:val="00B452FA"/>
    <w:rsid w:val="00B46983"/>
    <w:rsid w:val="00B5157A"/>
    <w:rsid w:val="00B54B0C"/>
    <w:rsid w:val="00B55F20"/>
    <w:rsid w:val="00B57591"/>
    <w:rsid w:val="00B57F9A"/>
    <w:rsid w:val="00B751DB"/>
    <w:rsid w:val="00B80008"/>
    <w:rsid w:val="00B80391"/>
    <w:rsid w:val="00B8378D"/>
    <w:rsid w:val="00B84247"/>
    <w:rsid w:val="00B84D7E"/>
    <w:rsid w:val="00B9341F"/>
    <w:rsid w:val="00B95039"/>
    <w:rsid w:val="00B96A5D"/>
    <w:rsid w:val="00B96DBC"/>
    <w:rsid w:val="00BA18FC"/>
    <w:rsid w:val="00BA1DF7"/>
    <w:rsid w:val="00BA276B"/>
    <w:rsid w:val="00BA3586"/>
    <w:rsid w:val="00BA3EA6"/>
    <w:rsid w:val="00BA3F4F"/>
    <w:rsid w:val="00BA6707"/>
    <w:rsid w:val="00BB04F4"/>
    <w:rsid w:val="00BC49B4"/>
    <w:rsid w:val="00BC7567"/>
    <w:rsid w:val="00BD17C7"/>
    <w:rsid w:val="00BD4D0E"/>
    <w:rsid w:val="00BD5638"/>
    <w:rsid w:val="00BD5E6C"/>
    <w:rsid w:val="00BD6B17"/>
    <w:rsid w:val="00BD6D5C"/>
    <w:rsid w:val="00BE24C5"/>
    <w:rsid w:val="00BE2F89"/>
    <w:rsid w:val="00BE415F"/>
    <w:rsid w:val="00BF6BB8"/>
    <w:rsid w:val="00BF72FA"/>
    <w:rsid w:val="00C03AD7"/>
    <w:rsid w:val="00C10DA5"/>
    <w:rsid w:val="00C11A0F"/>
    <w:rsid w:val="00C12F3B"/>
    <w:rsid w:val="00C20885"/>
    <w:rsid w:val="00C212C3"/>
    <w:rsid w:val="00C21DAB"/>
    <w:rsid w:val="00C226AA"/>
    <w:rsid w:val="00C2270A"/>
    <w:rsid w:val="00C24ACF"/>
    <w:rsid w:val="00C30180"/>
    <w:rsid w:val="00C3028D"/>
    <w:rsid w:val="00C3368F"/>
    <w:rsid w:val="00C3649E"/>
    <w:rsid w:val="00C4111B"/>
    <w:rsid w:val="00C46294"/>
    <w:rsid w:val="00C46738"/>
    <w:rsid w:val="00C50CBD"/>
    <w:rsid w:val="00C527FB"/>
    <w:rsid w:val="00C5544C"/>
    <w:rsid w:val="00C56214"/>
    <w:rsid w:val="00C57E44"/>
    <w:rsid w:val="00C619B4"/>
    <w:rsid w:val="00C62D6C"/>
    <w:rsid w:val="00C633A4"/>
    <w:rsid w:val="00C63CFD"/>
    <w:rsid w:val="00C64C5E"/>
    <w:rsid w:val="00C65A30"/>
    <w:rsid w:val="00C662B0"/>
    <w:rsid w:val="00C70279"/>
    <w:rsid w:val="00C7114D"/>
    <w:rsid w:val="00C72F8F"/>
    <w:rsid w:val="00C77624"/>
    <w:rsid w:val="00C7789B"/>
    <w:rsid w:val="00C80CCC"/>
    <w:rsid w:val="00C818E9"/>
    <w:rsid w:val="00C8367F"/>
    <w:rsid w:val="00C83988"/>
    <w:rsid w:val="00C94D41"/>
    <w:rsid w:val="00CA31C2"/>
    <w:rsid w:val="00CA3EC4"/>
    <w:rsid w:val="00CA466D"/>
    <w:rsid w:val="00CA6ED1"/>
    <w:rsid w:val="00CA7BC0"/>
    <w:rsid w:val="00CB002E"/>
    <w:rsid w:val="00CB33D5"/>
    <w:rsid w:val="00CB60B1"/>
    <w:rsid w:val="00CB645C"/>
    <w:rsid w:val="00CC19AE"/>
    <w:rsid w:val="00CC208B"/>
    <w:rsid w:val="00CC4523"/>
    <w:rsid w:val="00CC55AA"/>
    <w:rsid w:val="00CC5819"/>
    <w:rsid w:val="00CC5FE7"/>
    <w:rsid w:val="00CC7613"/>
    <w:rsid w:val="00CD08FD"/>
    <w:rsid w:val="00CD2422"/>
    <w:rsid w:val="00CD5914"/>
    <w:rsid w:val="00CE272B"/>
    <w:rsid w:val="00CE28D5"/>
    <w:rsid w:val="00CE33E4"/>
    <w:rsid w:val="00CE400B"/>
    <w:rsid w:val="00CE536D"/>
    <w:rsid w:val="00CF2E0A"/>
    <w:rsid w:val="00D0054D"/>
    <w:rsid w:val="00D018FD"/>
    <w:rsid w:val="00D05068"/>
    <w:rsid w:val="00D06191"/>
    <w:rsid w:val="00D07C92"/>
    <w:rsid w:val="00D12B76"/>
    <w:rsid w:val="00D154F2"/>
    <w:rsid w:val="00D15780"/>
    <w:rsid w:val="00D16437"/>
    <w:rsid w:val="00D202B2"/>
    <w:rsid w:val="00D2596F"/>
    <w:rsid w:val="00D30F48"/>
    <w:rsid w:val="00D3321C"/>
    <w:rsid w:val="00D341CB"/>
    <w:rsid w:val="00D41AC9"/>
    <w:rsid w:val="00D46B2D"/>
    <w:rsid w:val="00D47509"/>
    <w:rsid w:val="00D47555"/>
    <w:rsid w:val="00D4788A"/>
    <w:rsid w:val="00D50115"/>
    <w:rsid w:val="00D509BB"/>
    <w:rsid w:val="00D51B32"/>
    <w:rsid w:val="00D566FA"/>
    <w:rsid w:val="00D57370"/>
    <w:rsid w:val="00D60211"/>
    <w:rsid w:val="00D603A8"/>
    <w:rsid w:val="00D615F7"/>
    <w:rsid w:val="00D65E18"/>
    <w:rsid w:val="00D67575"/>
    <w:rsid w:val="00D67C5E"/>
    <w:rsid w:val="00D75899"/>
    <w:rsid w:val="00D819D9"/>
    <w:rsid w:val="00D81AD4"/>
    <w:rsid w:val="00D81DDB"/>
    <w:rsid w:val="00D90B03"/>
    <w:rsid w:val="00D91CB9"/>
    <w:rsid w:val="00D92028"/>
    <w:rsid w:val="00D967E3"/>
    <w:rsid w:val="00DA0C32"/>
    <w:rsid w:val="00DA2B70"/>
    <w:rsid w:val="00DA35AF"/>
    <w:rsid w:val="00DA45AA"/>
    <w:rsid w:val="00DA7F39"/>
    <w:rsid w:val="00DB03E4"/>
    <w:rsid w:val="00DB05D1"/>
    <w:rsid w:val="00DB17DD"/>
    <w:rsid w:val="00DB7FE7"/>
    <w:rsid w:val="00DC01BE"/>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2208"/>
    <w:rsid w:val="00E04793"/>
    <w:rsid w:val="00E051C9"/>
    <w:rsid w:val="00E0523F"/>
    <w:rsid w:val="00E05283"/>
    <w:rsid w:val="00E072F0"/>
    <w:rsid w:val="00E107B6"/>
    <w:rsid w:val="00E12CE7"/>
    <w:rsid w:val="00E14380"/>
    <w:rsid w:val="00E16C0A"/>
    <w:rsid w:val="00E17DA9"/>
    <w:rsid w:val="00E2016C"/>
    <w:rsid w:val="00E233C9"/>
    <w:rsid w:val="00E27DDD"/>
    <w:rsid w:val="00E314FA"/>
    <w:rsid w:val="00E36BA4"/>
    <w:rsid w:val="00E4363F"/>
    <w:rsid w:val="00E43A9D"/>
    <w:rsid w:val="00E46CCB"/>
    <w:rsid w:val="00E5271B"/>
    <w:rsid w:val="00E52DC5"/>
    <w:rsid w:val="00E5366C"/>
    <w:rsid w:val="00E536D9"/>
    <w:rsid w:val="00E53BD3"/>
    <w:rsid w:val="00E63E76"/>
    <w:rsid w:val="00E63F74"/>
    <w:rsid w:val="00E65E37"/>
    <w:rsid w:val="00E66840"/>
    <w:rsid w:val="00E6723A"/>
    <w:rsid w:val="00E71499"/>
    <w:rsid w:val="00E71596"/>
    <w:rsid w:val="00E72BF8"/>
    <w:rsid w:val="00E7452C"/>
    <w:rsid w:val="00E83EEA"/>
    <w:rsid w:val="00E853B1"/>
    <w:rsid w:val="00E861D7"/>
    <w:rsid w:val="00E90604"/>
    <w:rsid w:val="00E958D5"/>
    <w:rsid w:val="00E96B2A"/>
    <w:rsid w:val="00EA3C5E"/>
    <w:rsid w:val="00EA5D04"/>
    <w:rsid w:val="00EB0D4C"/>
    <w:rsid w:val="00EB3B09"/>
    <w:rsid w:val="00EB4155"/>
    <w:rsid w:val="00EB5745"/>
    <w:rsid w:val="00EB6C5E"/>
    <w:rsid w:val="00EC169B"/>
    <w:rsid w:val="00EC33B9"/>
    <w:rsid w:val="00EC711D"/>
    <w:rsid w:val="00ED0225"/>
    <w:rsid w:val="00ED1570"/>
    <w:rsid w:val="00ED4C69"/>
    <w:rsid w:val="00ED75FC"/>
    <w:rsid w:val="00EE22A7"/>
    <w:rsid w:val="00EE3F8C"/>
    <w:rsid w:val="00EE4A94"/>
    <w:rsid w:val="00EE4BD1"/>
    <w:rsid w:val="00EF1474"/>
    <w:rsid w:val="00EF1F03"/>
    <w:rsid w:val="00EF5595"/>
    <w:rsid w:val="00EF6050"/>
    <w:rsid w:val="00F0318E"/>
    <w:rsid w:val="00F10E04"/>
    <w:rsid w:val="00F1154A"/>
    <w:rsid w:val="00F13169"/>
    <w:rsid w:val="00F13FF1"/>
    <w:rsid w:val="00F149A1"/>
    <w:rsid w:val="00F16A8F"/>
    <w:rsid w:val="00F17EB4"/>
    <w:rsid w:val="00F20314"/>
    <w:rsid w:val="00F30BF8"/>
    <w:rsid w:val="00F3148B"/>
    <w:rsid w:val="00F31C9A"/>
    <w:rsid w:val="00F33875"/>
    <w:rsid w:val="00F34AA1"/>
    <w:rsid w:val="00F371B4"/>
    <w:rsid w:val="00F4266E"/>
    <w:rsid w:val="00F47858"/>
    <w:rsid w:val="00F55152"/>
    <w:rsid w:val="00F56411"/>
    <w:rsid w:val="00F56FF2"/>
    <w:rsid w:val="00F5790C"/>
    <w:rsid w:val="00F57CEE"/>
    <w:rsid w:val="00F602CD"/>
    <w:rsid w:val="00F60BAC"/>
    <w:rsid w:val="00F61475"/>
    <w:rsid w:val="00F6220F"/>
    <w:rsid w:val="00F6324D"/>
    <w:rsid w:val="00F6581A"/>
    <w:rsid w:val="00F729F9"/>
    <w:rsid w:val="00F73E82"/>
    <w:rsid w:val="00F7770B"/>
    <w:rsid w:val="00F90860"/>
    <w:rsid w:val="00F91DF9"/>
    <w:rsid w:val="00F92675"/>
    <w:rsid w:val="00F969DD"/>
    <w:rsid w:val="00FA20C1"/>
    <w:rsid w:val="00FA20FA"/>
    <w:rsid w:val="00FA6E9B"/>
    <w:rsid w:val="00FB1CD3"/>
    <w:rsid w:val="00FB4FB3"/>
    <w:rsid w:val="00FB581A"/>
    <w:rsid w:val="00FB66E7"/>
    <w:rsid w:val="00FC0608"/>
    <w:rsid w:val="00FC1723"/>
    <w:rsid w:val="00FC207F"/>
    <w:rsid w:val="00FC365F"/>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lsdException w:name="heading 1" w:uiPriority="2" w:qFormat="1"/>
    <w:lsdException w:name="heading 2" w:uiPriority="2" w:qFormat="1"/>
    <w:lsdException w:name="heading 3" w:uiPriority="2"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3"/>
    <w:lsdException w:name="List 2" w:semiHidden="1"/>
    <w:lsdException w:name="List 3" w:semiHidden="1"/>
    <w:lsdException w:name="List 4" w:semiHidden="1"/>
    <w:lsdException w:name="List 5" w:semiHidden="1"/>
    <w:lsdException w:name="List Bullet 2" w:uiPriority="3"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uiPriority="0"/>
    <w:lsdException w:name="Outline List 1" w:uiPriority="99"/>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rsid w:val="00272803"/>
    <w:pPr>
      <w:spacing w:before="240" w:after="240"/>
    </w:pPr>
    <w:rPr>
      <w:rFonts w:ascii="Arial" w:hAnsi="Arial"/>
      <w:sz w:val="18"/>
      <w:szCs w:val="24"/>
    </w:rPr>
  </w:style>
  <w:style w:type="paragraph" w:styleId="Heading1">
    <w:name w:val="heading 1"/>
    <w:next w:val="BodyText"/>
    <w:link w:val="Heading1Char"/>
    <w:uiPriority w:val="2"/>
    <w:qFormat/>
    <w:rsid w:val="00984372"/>
    <w:pPr>
      <w:spacing w:after="240"/>
      <w:outlineLvl w:val="0"/>
    </w:pPr>
    <w:rPr>
      <w:rFonts w:ascii="Arial" w:hAnsi="Arial" w:cs="Arial"/>
      <w:b/>
      <w:bCs/>
      <w:sz w:val="52"/>
      <w:szCs w:val="36"/>
    </w:rPr>
  </w:style>
  <w:style w:type="paragraph" w:styleId="Heading2">
    <w:name w:val="heading 2"/>
    <w:next w:val="BodyText"/>
    <w:link w:val="Heading2Char"/>
    <w:uiPriority w:val="2"/>
    <w:qFormat/>
    <w:rsid w:val="00E051C9"/>
    <w:pPr>
      <w:keepNext/>
      <w:keepLines/>
      <w:suppressAutoHyphens/>
      <w:spacing w:before="300" w:after="120"/>
      <w:outlineLvl w:val="1"/>
    </w:pPr>
    <w:rPr>
      <w:rFonts w:ascii="Arial" w:hAnsi="Arial" w:cs="Arial"/>
      <w:b/>
      <w:bCs/>
      <w:color w:val="000000" w:themeColor="text1"/>
      <w:sz w:val="36"/>
      <w:szCs w:val="26"/>
    </w:rPr>
  </w:style>
  <w:style w:type="paragraph" w:styleId="Heading3">
    <w:name w:val="heading 3"/>
    <w:next w:val="BodyText"/>
    <w:link w:val="Heading3Char"/>
    <w:uiPriority w:val="2"/>
    <w:qFormat/>
    <w:rsid w:val="00D15780"/>
    <w:pPr>
      <w:keepNext/>
      <w:keepLines/>
      <w:suppressAutoHyphens/>
      <w:spacing w:before="300" w:after="120"/>
      <w:outlineLvl w:val="2"/>
    </w:pPr>
    <w:rPr>
      <w:rFonts w:ascii="Arial" w:hAnsi="Arial" w:cs="Arial"/>
      <w:b/>
      <w:bCs/>
      <w:sz w:val="32"/>
      <w:szCs w:val="24"/>
    </w:rPr>
  </w:style>
  <w:style w:type="paragraph" w:styleId="Heading4">
    <w:name w:val="heading 4"/>
    <w:next w:val="BodyText"/>
    <w:link w:val="Heading4Char"/>
    <w:uiPriority w:val="6"/>
    <w:qFormat/>
    <w:rsid w:val="00AF7250"/>
    <w:pPr>
      <w:keepNext/>
      <w:keepLines/>
      <w:suppressAutoHyphens/>
      <w:spacing w:before="300" w:after="120"/>
      <w:outlineLvl w:val="3"/>
    </w:pPr>
    <w:rPr>
      <w:rFonts w:ascii="Arial" w:hAnsi="Arial" w:cs="Arial"/>
      <w:b/>
      <w:bCs/>
      <w:sz w:val="28"/>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7E44"/>
    <w:rPr>
      <w:rFonts w:ascii="Arial" w:hAnsi="Arial"/>
      <w:color w:val="0000FF"/>
      <w:sz w:val="24"/>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E051C9"/>
    <w:rPr>
      <w:rFonts w:ascii="Arial" w:hAnsi="Arial" w:cs="Arial"/>
      <w:b/>
      <w:bCs/>
      <w:color w:val="000000" w:themeColor="text1"/>
      <w:sz w:val="36"/>
      <w:szCs w:val="26"/>
    </w:rPr>
  </w:style>
  <w:style w:type="character" w:customStyle="1" w:styleId="Heading3Char">
    <w:name w:val="Heading 3 Char"/>
    <w:link w:val="Heading3"/>
    <w:uiPriority w:val="2"/>
    <w:locked/>
    <w:rsid w:val="00D15780"/>
    <w:rPr>
      <w:rFonts w:ascii="Arial" w:hAnsi="Arial" w:cs="Arial"/>
      <w:b/>
      <w:bCs/>
      <w:sz w:val="32"/>
      <w:szCs w:val="24"/>
    </w:rPr>
  </w:style>
  <w:style w:type="character" w:customStyle="1" w:styleId="Heading4Char">
    <w:name w:val="Heading 4 Char"/>
    <w:link w:val="Heading4"/>
    <w:uiPriority w:val="6"/>
    <w:locked/>
    <w:rsid w:val="00AF7250"/>
    <w:rPr>
      <w:rFonts w:ascii="Arial" w:hAnsi="Arial" w:cs="Arial"/>
      <w:b/>
      <w:bCs/>
      <w:sz w:val="28"/>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39"/>
    <w:unhideWhenUsed/>
    <w:rsid w:val="00DF6A8D"/>
    <w:pPr>
      <w:tabs>
        <w:tab w:val="right" w:pos="9639"/>
      </w:tabs>
      <w:suppressAutoHyphens/>
      <w:spacing w:before="60" w:after="60"/>
    </w:pPr>
    <w:rPr>
      <w:rFonts w:ascii="Calibri" w:hAnsi="Calibri"/>
      <w:b/>
      <w:lang w:eastAsia="en-US"/>
    </w:rPr>
  </w:style>
  <w:style w:type="paragraph" w:styleId="TOC2">
    <w:name w:val="toc 2"/>
    <w:uiPriority w:val="39"/>
    <w:unhideWhenUsed/>
    <w:rsid w:val="006B3039"/>
    <w:pPr>
      <w:tabs>
        <w:tab w:val="right" w:pos="9639"/>
      </w:tabs>
      <w:suppressAutoHyphens/>
      <w:spacing w:before="60" w:after="60"/>
      <w:ind w:left="284"/>
    </w:pPr>
    <w:rPr>
      <w:rFonts w:ascii="Arial" w:hAnsi="Arial"/>
      <w:lang w:eastAsia="en-US"/>
    </w:rPr>
  </w:style>
  <w:style w:type="paragraph" w:styleId="TOC3">
    <w:name w:val="toc 3"/>
    <w:basedOn w:val="TOC2"/>
    <w:uiPriority w:val="39"/>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F5790C"/>
    <w:pPr>
      <w:tabs>
        <w:tab w:val="center" w:pos="5387"/>
        <w:tab w:val="right" w:pos="10773"/>
      </w:tabs>
      <w:suppressAutoHyphens/>
      <w:spacing w:before="200"/>
    </w:pPr>
    <w:rPr>
      <w:rFonts w:ascii="Arial" w:hAnsi="Arial" w:cs="Arial"/>
      <w:sz w:val="24"/>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984372"/>
    <w:pPr>
      <w:suppressAutoHyphens/>
      <w:spacing w:before="120" w:after="120" w:line="264" w:lineRule="auto"/>
    </w:pPr>
    <w:rPr>
      <w:rFonts w:ascii="Arial" w:hAnsi="Arial" w:cs="Arial"/>
      <w:sz w:val="24"/>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D92028"/>
    <w:pPr>
      <w:numPr>
        <w:numId w:val="4"/>
      </w:numPr>
      <w:suppressAutoHyphens/>
      <w:spacing w:before="120" w:after="120" w:line="264" w:lineRule="auto"/>
      <w:ind w:left="567"/>
    </w:pPr>
    <w:rPr>
      <w:rFonts w:ascii="Arial" w:hAnsi="Arial" w:cs="Arial"/>
      <w:sz w:val="24"/>
      <w:szCs w:val="18"/>
    </w:rPr>
  </w:style>
  <w:style w:type="paragraph" w:styleId="ListBullet2">
    <w:name w:val="List Bullet 2"/>
    <w:link w:val="ListBullet2Char"/>
    <w:uiPriority w:val="3"/>
    <w:qFormat/>
    <w:rsid w:val="00C57E44"/>
    <w:pPr>
      <w:numPr>
        <w:numId w:val="6"/>
      </w:numPr>
      <w:suppressAutoHyphens/>
      <w:spacing w:before="40" w:after="40" w:line="264" w:lineRule="auto"/>
      <w:ind w:left="907"/>
    </w:pPr>
    <w:rPr>
      <w:rFonts w:ascii="Arial" w:hAnsi="Arial"/>
      <w:sz w:val="24"/>
      <w:szCs w:val="24"/>
    </w:rPr>
  </w:style>
  <w:style w:type="paragraph" w:styleId="ListNumber">
    <w:name w:val="List Number"/>
    <w:link w:val="ListNumberChar"/>
    <w:uiPriority w:val="3"/>
    <w:rsid w:val="00433E01"/>
    <w:pPr>
      <w:numPr>
        <w:numId w:val="5"/>
      </w:numPr>
      <w:spacing w:before="120" w:after="120"/>
    </w:pPr>
    <w:rPr>
      <w:rFonts w:ascii="Arial" w:hAnsi="Arial"/>
      <w:sz w:val="24"/>
      <w:szCs w:val="24"/>
    </w:rPr>
  </w:style>
  <w:style w:type="paragraph" w:styleId="ListNumber2">
    <w:name w:val="List Number 2"/>
    <w:link w:val="ListNumber2Char"/>
    <w:uiPriority w:val="5"/>
    <w:rsid w:val="004D4603"/>
    <w:pPr>
      <w:numPr>
        <w:numId w:val="8"/>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9"/>
      </w:numPr>
      <w:spacing w:before="40" w:after="40" w:line="264" w:lineRule="auto"/>
      <w:ind w:left="1020" w:hanging="340"/>
    </w:pPr>
    <w:rPr>
      <w:sz w:val="20"/>
    </w:rPr>
  </w:style>
  <w:style w:type="character" w:customStyle="1" w:styleId="BodyTextChar">
    <w:name w:val="Body Text Char"/>
    <w:link w:val="BodyText"/>
    <w:rsid w:val="00984372"/>
    <w:rPr>
      <w:rFonts w:ascii="Arial" w:hAnsi="Arial" w:cs="Arial"/>
      <w:sz w:val="24"/>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F5790C"/>
    <w:rPr>
      <w:rFonts w:ascii="Arial" w:hAnsi="Arial" w:cs="Arial"/>
      <w:sz w:val="24"/>
      <w:szCs w:val="16"/>
    </w:rPr>
  </w:style>
  <w:style w:type="character" w:customStyle="1" w:styleId="Heading1Char">
    <w:name w:val="Heading 1 Char"/>
    <w:link w:val="Heading1"/>
    <w:uiPriority w:val="2"/>
    <w:rsid w:val="00984372"/>
    <w:rPr>
      <w:rFonts w:ascii="Arial" w:hAnsi="Arial" w:cs="Arial"/>
      <w:b/>
      <w:bCs/>
      <w:sz w:val="52"/>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D92028"/>
    <w:rPr>
      <w:rFonts w:ascii="Arial" w:hAnsi="Arial" w:cs="Arial"/>
      <w:sz w:val="24"/>
      <w:szCs w:val="18"/>
    </w:rPr>
  </w:style>
  <w:style w:type="character" w:customStyle="1" w:styleId="ListBullet2Char">
    <w:name w:val="List Bullet 2 Char"/>
    <w:link w:val="ListBullet2"/>
    <w:uiPriority w:val="3"/>
    <w:rsid w:val="00C57E44"/>
    <w:rPr>
      <w:rFonts w:ascii="Arial" w:hAnsi="Arial"/>
      <w:sz w:val="24"/>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7"/>
      </w:numPr>
      <w:spacing w:before="40" w:after="40" w:line="264" w:lineRule="auto"/>
      <w:ind w:left="1020" w:hanging="340"/>
    </w:pPr>
    <w:rPr>
      <w:sz w:val="20"/>
    </w:rPr>
  </w:style>
  <w:style w:type="character" w:customStyle="1" w:styleId="ListNumberChar">
    <w:name w:val="List Number Char"/>
    <w:link w:val="ListNumber"/>
    <w:uiPriority w:val="3"/>
    <w:rsid w:val="00433E01"/>
    <w:rPr>
      <w:rFonts w:ascii="Arial" w:hAnsi="Arial"/>
      <w:sz w:val="24"/>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B130FB"/>
    <w:pPr>
      <w:tabs>
        <w:tab w:val="clear" w:pos="5387"/>
        <w:tab w:val="clear" w:pos="10773"/>
      </w:tabs>
      <w:jc w:val="center"/>
    </w:pPr>
    <w:rPr>
      <w:sz w:val="20"/>
    </w:rPr>
  </w:style>
  <w:style w:type="character" w:customStyle="1" w:styleId="FootercenteredChar">
    <w:name w:val="Footer centered Char"/>
    <w:link w:val="Footercentered"/>
    <w:uiPriority w:val="8"/>
    <w:rsid w:val="00B130FB"/>
    <w:rPr>
      <w:rFonts w:ascii="Arial" w:hAnsi="Arial" w:cs="Arial"/>
      <w:szCs w:val="16"/>
    </w:rPr>
  </w:style>
  <w:style w:type="paragraph" w:styleId="TOCHeading">
    <w:name w:val="TOC Heading"/>
    <w:basedOn w:val="Heading1"/>
    <w:next w:val="Normal"/>
    <w:uiPriority w:val="39"/>
    <w:unhideWhenUsed/>
    <w:qFormat/>
    <w:rsid w:val="00433E01"/>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ListParagraph">
    <w:name w:val="List Paragraph"/>
    <w:basedOn w:val="Normal"/>
    <w:uiPriority w:val="34"/>
    <w:qFormat/>
    <w:rsid w:val="00706562"/>
    <w:pPr>
      <w:spacing w:before="0" w:after="0"/>
      <w:ind w:left="720"/>
      <w:contextualSpacing/>
    </w:pPr>
    <w:rPr>
      <w:rFonts w:ascii="Times New Roman" w:hAnsi="Times New Roman"/>
      <w:sz w:val="24"/>
    </w:rPr>
  </w:style>
  <w:style w:type="paragraph" w:styleId="BodyText2">
    <w:name w:val="Body Text 2"/>
    <w:basedOn w:val="Normal"/>
    <w:link w:val="BodyText2Char"/>
    <w:uiPriority w:val="98"/>
    <w:semiHidden/>
    <w:rsid w:val="00BE415F"/>
    <w:pPr>
      <w:spacing w:after="120" w:line="480" w:lineRule="auto"/>
    </w:pPr>
  </w:style>
  <w:style w:type="character" w:customStyle="1" w:styleId="BodyText2Char">
    <w:name w:val="Body Text 2 Char"/>
    <w:basedOn w:val="DefaultParagraphFont"/>
    <w:link w:val="BodyText2"/>
    <w:uiPriority w:val="99"/>
    <w:semiHidden/>
    <w:rsid w:val="00BE415F"/>
    <w:rPr>
      <w:rFonts w:ascii="Arial" w:hAnsi="Arial"/>
      <w:sz w:val="18"/>
      <w:szCs w:val="24"/>
    </w:rPr>
  </w:style>
  <w:style w:type="numbering" w:styleId="1ai">
    <w:name w:val="Outline List 1"/>
    <w:uiPriority w:val="99"/>
    <w:unhideWhenUsed/>
    <w:rsid w:val="00BE415F"/>
    <w:pPr>
      <w:numPr>
        <w:numId w:val="10"/>
      </w:numPr>
    </w:pPr>
  </w:style>
  <w:style w:type="paragraph" w:customStyle="1" w:styleId="TableHeading">
    <w:name w:val="Table Heading"/>
    <w:basedOn w:val="Heading4"/>
    <w:link w:val="TableHeadingChar"/>
    <w:uiPriority w:val="14"/>
    <w:qFormat/>
    <w:rsid w:val="00A146D5"/>
  </w:style>
  <w:style w:type="character" w:customStyle="1" w:styleId="TableHeadingChar">
    <w:name w:val="Table Heading Char"/>
    <w:basedOn w:val="Heading4Char"/>
    <w:link w:val="TableHeading"/>
    <w:uiPriority w:val="14"/>
    <w:rsid w:val="00A146D5"/>
    <w:rPr>
      <w:rFonts w:ascii="Arial" w:hAnsi="Arial" w:cs="Arial"/>
      <w:b/>
      <w:bCs/>
      <w:sz w:val="28"/>
      <w:szCs w:val="22"/>
    </w:rPr>
  </w:style>
  <w:style w:type="paragraph" w:styleId="TOC4">
    <w:name w:val="toc 4"/>
    <w:basedOn w:val="Normal"/>
    <w:next w:val="Normal"/>
    <w:autoRedefine/>
    <w:uiPriority w:val="98"/>
    <w:semiHidden/>
    <w:rsid w:val="00CC7613"/>
    <w:pPr>
      <w:spacing w:after="100"/>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19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edservices@justice.vic.gov.au" TargetMode="External"/><Relationship Id="rId13" Type="http://schemas.openxmlformats.org/officeDocument/2006/relationships/hyperlink" Target="https://www.consumer.vic.gov.au/library/forms/clubs-and-not-for-profits/grants/taap-service-delivery-model-2017-21.doc" TargetMode="External"/><Relationship Id="rId18" Type="http://schemas.openxmlformats.org/officeDocument/2006/relationships/hyperlink" Target="https://www.consumer.vic.gov.au/library/forms/clubs-and-not-for-profits/grants/taap-service-delivery-model-2017-21.doc" TargetMode="External"/><Relationship Id="rId26" Type="http://schemas.openxmlformats.org/officeDocument/2006/relationships/hyperlink" Target="https://www.consumer.vic.gov.au/library/forms/clubs-and-not-for-profits/grants/taap-application-guide-2017-21.docx" TargetMode="External"/><Relationship Id="rId3" Type="http://schemas.openxmlformats.org/officeDocument/2006/relationships/styles" Target="styles.xml"/><Relationship Id="rId21" Type="http://schemas.openxmlformats.org/officeDocument/2006/relationships/hyperlink" Target="mailto:fundedservices@justice.vic.gov.au" TargetMode="External"/><Relationship Id="rId7" Type="http://schemas.openxmlformats.org/officeDocument/2006/relationships/endnotes" Target="endnotes.xml"/><Relationship Id="rId12" Type="http://schemas.openxmlformats.org/officeDocument/2006/relationships/hyperlink" Target="https://www.consumer.vic.gov.au/library/forms/clubs-and-not-for-profits/grants/taap-service-delivery-model-2017-21.doc" TargetMode="External"/><Relationship Id="rId17" Type="http://schemas.openxmlformats.org/officeDocument/2006/relationships/hyperlink" Target="https://www.consumer.vic.gov.au/library/forms/clubs-and-not-for-profits/grants/taap-draft-schedule-to-funding-agreement-2017-21.docx" TargetMode="External"/><Relationship Id="rId25" Type="http://schemas.openxmlformats.org/officeDocument/2006/relationships/hyperlink" Target="https://www.consumer.vic.gov.au/library/forms/clubs-and-not-for-profits/grants/taap-draft-schedule-to-funding-agreement-2017-21.docx" TargetMode="External"/><Relationship Id="rId2" Type="http://schemas.openxmlformats.org/officeDocument/2006/relationships/numbering" Target="numbering.xml"/><Relationship Id="rId16" Type="http://schemas.openxmlformats.org/officeDocument/2006/relationships/hyperlink" Target="https://www.consumer.vic.gov.au/library/forms/clubs-and-not-for-profits/grants/taap-draft-schedule-to-funding-agreement-2017-21.docx" TargetMode="External"/><Relationship Id="rId20" Type="http://schemas.openxmlformats.org/officeDocument/2006/relationships/hyperlink" Target="https://www.consumer.vic.gov.au/library/forms/clubs-and-not-for-profits/grants/taap-application-response-to-request-for-service-2017-21.do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library/forms/clubs-and-not-for-profits/grants/taap-service-delivery-model-2017-21.doc" TargetMode="External"/><Relationship Id="rId24" Type="http://schemas.openxmlformats.org/officeDocument/2006/relationships/hyperlink" Target="https://www.consumer.vic.gov.au/library/forms/clubs-and-not-for-profits/grants/taap-service-delivery-model-2017-21.doc" TargetMode="External"/><Relationship Id="rId5" Type="http://schemas.openxmlformats.org/officeDocument/2006/relationships/webSettings" Target="webSettings.xml"/><Relationship Id="rId15" Type="http://schemas.openxmlformats.org/officeDocument/2006/relationships/hyperlink" Target="http://www.dhs.vic.gov.au/for-business-and-community/not-for-profit-organisations/common-funding-agreement" TargetMode="External"/><Relationship Id="rId23" Type="http://schemas.openxmlformats.org/officeDocument/2006/relationships/hyperlink" Target="https://www.consumer.vic.gov.au/library/forms/clubs-and-not-for-profits/grants/taap-fte-allocation-2017-18.doc" TargetMode="External"/><Relationship Id="rId28" Type="http://schemas.openxmlformats.org/officeDocument/2006/relationships/footer" Target="footer1.xml"/><Relationship Id="rId10" Type="http://schemas.openxmlformats.org/officeDocument/2006/relationships/hyperlink" Target="https://www.consumer.vic.gov.au/library/forms/clubs-and-not-for-profits/grants/taap-fte-allocation-2017-18.doc" TargetMode="External"/><Relationship Id="rId19" Type="http://schemas.openxmlformats.org/officeDocument/2006/relationships/hyperlink" Target="https://www.consumer.vic.gov.au/library/forms/clubs-and-not-for-profits/grants/taap-application-guide-2017-2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hs.vic.gov.au/__data/assets/pdf_file/0005/749516/department-of-human-services-victoria-map-areas-and-local-government-areas.pdf" TargetMode="External"/><Relationship Id="rId14" Type="http://schemas.openxmlformats.org/officeDocument/2006/relationships/hyperlink" Target="https://www.consumer.vic.gov.au/library/forms/clubs-and-not-for-profits/grants/taap-fte-allocation-2017-18.doc" TargetMode="External"/><Relationship Id="rId22" Type="http://schemas.openxmlformats.org/officeDocument/2006/relationships/hyperlink" Target="mailto:fundedservices@justice.vic.gov.au" TargetMode="External"/><Relationship Id="rId27" Type="http://schemas.openxmlformats.org/officeDocument/2006/relationships/hyperlink" Target="https://www.consumer.vic.gov.au/library/forms/clubs-and-not-for-profits/grants/taap-application-response-to-request-for-service-2017-21.doc"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1462A-3FD3-4FE5-80CA-DCCAF860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10</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TAAP Request for Service</vt:lpstr>
    </vt:vector>
  </TitlesOfParts>
  <Company/>
  <LinksUpToDate>false</LinksUpToDate>
  <CharactersWithSpaces>21409</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TAAP Request for Service</dc:title>
  <dc:subject>Grants</dc:subject>
  <dc:creator>Consumer Affairs Victoria</dc:creator>
  <cp:keywords/>
  <cp:lastModifiedBy>Daniel Craddock</cp:lastModifiedBy>
  <cp:revision>185</cp:revision>
  <cp:lastPrinted>2016-12-01T02:29:00Z</cp:lastPrinted>
  <dcterms:created xsi:type="dcterms:W3CDTF">2016-10-25T01:10:00Z</dcterms:created>
  <dcterms:modified xsi:type="dcterms:W3CDTF">2016-12-11T23:47:00Z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CD/16/527359*</vt:lpwstr>
  </property>
  <property fmtid="{D5CDD505-2E9C-101B-9397-08002B2CF9AE}" pid="4" name="TRIM_DateDue">
    <vt:lpwstr> </vt:lpwstr>
  </property>
  <property fmtid="{D5CDD505-2E9C-101B-9397-08002B2CF9AE}" pid="5" name="TRIM_Author">
    <vt:lpwstr>ABREU, Jennifer</vt:lpwstr>
  </property>
  <property fmtid="{D5CDD505-2E9C-101B-9397-08002B2CF9AE}" pid="6" name="TRIM_Container">
    <vt:lpwstr>DG/16/64375</vt:lpwstr>
  </property>
  <property fmtid="{D5CDD505-2E9C-101B-9397-08002B2CF9AE}" pid="7" name="TRIM_Creator">
    <vt:lpwstr>ABREU, Jennifer</vt:lpwstr>
  </property>
  <property fmtid="{D5CDD505-2E9C-101B-9397-08002B2CF9AE}" pid="8" name="TRIM_DateRegistered">
    <vt:lpwstr>21 October, 2016</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Publication - External - TAAP 2017-21 Request for Service December 2016</vt:lpwstr>
  </property>
</Properties>
</file>