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EC" w:rsidRPr="00AF7250" w:rsidRDefault="00A026EC" w:rsidP="00A026EC">
      <w:pPr>
        <w:pStyle w:val="Heading1"/>
      </w:pPr>
      <w:bookmarkStart w:id="0" w:name="_Toc466019044"/>
      <w:bookmarkStart w:id="1" w:name="_Toc466280452"/>
      <w:bookmarkStart w:id="2" w:name="_Toc466280490"/>
      <w:bookmarkStart w:id="3" w:name="_Toc466292197"/>
      <w:bookmarkStart w:id="4" w:name="_Toc466377386"/>
      <w:bookmarkStart w:id="5" w:name="_Toc466448082"/>
      <w:bookmarkStart w:id="6" w:name="_Toc466877407"/>
      <w:bookmarkStart w:id="7" w:name="_Toc467571868"/>
      <w:bookmarkStart w:id="8" w:name="_Toc467676839"/>
      <w:bookmarkStart w:id="9" w:name="_Toc467678097"/>
      <w:bookmarkStart w:id="10" w:name="_Toc468091388"/>
      <w:bookmarkStart w:id="11" w:name="_Toc468456316"/>
      <w:bookmarkStart w:id="12" w:name="_Toc468800841"/>
      <w:bookmarkStart w:id="13" w:name="_Toc465258904"/>
      <w:bookmarkStart w:id="14" w:name="_Toc465260785"/>
      <w:bookmarkStart w:id="15" w:name="_Toc465346065"/>
      <w:bookmarkStart w:id="16" w:name="_Toc465347463"/>
      <w:bookmarkStart w:id="17" w:name="_Toc465848824"/>
      <w:bookmarkStart w:id="18" w:name="_Toc465155263"/>
      <w:bookmarkStart w:id="19" w:name="_Toc465156593"/>
      <w:bookmarkStart w:id="20" w:name="_Toc465156735"/>
      <w:r w:rsidRPr="00AF7250">
        <w:t xml:space="preserve">Request </w:t>
      </w:r>
      <w:r w:rsidRPr="00C8367F">
        <w:t>for</w:t>
      </w:r>
      <w:r w:rsidRPr="00AF7250">
        <w:t xml:space="preserve"> Service</w:t>
      </w:r>
      <w:bookmarkEnd w:id="0"/>
      <w:bookmarkEnd w:id="1"/>
      <w:bookmarkEnd w:id="2"/>
      <w:bookmarkEnd w:id="3"/>
      <w:bookmarkEnd w:id="4"/>
      <w:bookmarkEnd w:id="5"/>
      <w:bookmarkEnd w:id="6"/>
      <w:bookmarkEnd w:id="7"/>
      <w:bookmarkEnd w:id="8"/>
      <w:bookmarkEnd w:id="9"/>
      <w:bookmarkEnd w:id="10"/>
      <w:bookmarkEnd w:id="11"/>
      <w:bookmarkEnd w:id="12"/>
    </w:p>
    <w:p w:rsidR="00A026EC" w:rsidRPr="00EA58BF" w:rsidRDefault="00A026EC" w:rsidP="00A026EC">
      <w:pPr>
        <w:pStyle w:val="BodyText"/>
        <w:rPr>
          <w:rStyle w:val="BodyTextChar"/>
          <w:b/>
          <w:sz w:val="36"/>
          <w:szCs w:val="36"/>
        </w:rPr>
      </w:pPr>
      <w:r>
        <w:rPr>
          <w:rStyle w:val="BodyTextChar"/>
          <w:b/>
          <w:sz w:val="36"/>
          <w:szCs w:val="36"/>
        </w:rPr>
        <w:t xml:space="preserve">Consumer </w:t>
      </w:r>
      <w:r w:rsidRPr="00EA58BF">
        <w:rPr>
          <w:rStyle w:val="BodyTextChar"/>
          <w:b/>
          <w:sz w:val="36"/>
          <w:szCs w:val="36"/>
        </w:rPr>
        <w:t>Assistance and Advocacy</w:t>
      </w:r>
      <w:bookmarkStart w:id="21" w:name="_Toc465258905"/>
      <w:bookmarkStart w:id="22" w:name="_Toc465260786"/>
      <w:bookmarkStart w:id="23" w:name="_Toc465346066"/>
      <w:bookmarkStart w:id="24" w:name="_Toc465347464"/>
      <w:bookmarkEnd w:id="13"/>
      <w:bookmarkEnd w:id="14"/>
      <w:bookmarkEnd w:id="15"/>
      <w:bookmarkEnd w:id="16"/>
      <w:r w:rsidRPr="00EA58BF">
        <w:rPr>
          <w:rStyle w:val="BodyTextChar"/>
          <w:b/>
          <w:sz w:val="36"/>
          <w:szCs w:val="36"/>
        </w:rPr>
        <w:t xml:space="preserve"> Program</w:t>
      </w:r>
      <w:bookmarkStart w:id="25" w:name="_Toc465848825"/>
      <w:bookmarkEnd w:id="17"/>
      <w:r w:rsidRPr="00EA58BF">
        <w:rPr>
          <w:rStyle w:val="BodyTextChar"/>
          <w:b/>
          <w:sz w:val="36"/>
          <w:szCs w:val="36"/>
        </w:rPr>
        <w:t xml:space="preserve"> 2017-21</w:t>
      </w:r>
      <w:bookmarkEnd w:id="21"/>
      <w:bookmarkEnd w:id="22"/>
      <w:bookmarkEnd w:id="23"/>
      <w:bookmarkEnd w:id="24"/>
      <w:bookmarkEnd w:id="25"/>
    </w:p>
    <w:p w:rsidR="00A026EC" w:rsidRDefault="001F774C" w:rsidP="00A026EC">
      <w:pPr>
        <w:pStyle w:val="BodyText"/>
        <w:spacing w:before="1600" w:after="0"/>
      </w:pPr>
      <w:r>
        <w:t>December 2</w:t>
      </w:r>
      <w:r w:rsidR="00A026EC" w:rsidRPr="00A818C0">
        <w:t>016</w:t>
      </w:r>
    </w:p>
    <w:p w:rsidR="00A026EC" w:rsidRDefault="00A026EC" w:rsidP="00A026EC">
      <w:pPr>
        <w:pStyle w:val="BodyText"/>
        <w:spacing w:before="360"/>
      </w:pPr>
      <w:r>
        <w:rPr>
          <w:b/>
        </w:rPr>
        <w:t>Note</w:t>
      </w:r>
      <w:r>
        <w:t xml:space="preserve">: To </w:t>
      </w:r>
      <w:r w:rsidRPr="00984372">
        <w:t>indicate</w:t>
      </w:r>
      <w:r>
        <w:t xml:space="preserve"> your intention to apply and to receive notices about the Request for Service please email </w:t>
      </w:r>
      <w:hyperlink r:id="rId8" w:history="1">
        <w:r>
          <w:rPr>
            <w:rStyle w:val="Hyperlink"/>
          </w:rPr>
          <w:t>fundedservices@justice.vic.gov.au</w:t>
        </w:r>
      </w:hyperlink>
      <w:r>
        <w:t>, using the subject line ‘CAAP</w:t>
      </w:r>
      <w:r w:rsidR="00670D90">
        <w:t xml:space="preserve"> </w:t>
      </w:r>
      <w:r w:rsidR="001606D2">
        <w:t>&lt;</w:t>
      </w:r>
      <w:r w:rsidR="001606D2" w:rsidRPr="0023264A">
        <w:t xml:space="preserve">your </w:t>
      </w:r>
      <w:r w:rsidR="001606D2">
        <w:t>organisation</w:t>
      </w:r>
      <w:r w:rsidR="001606D2" w:rsidRPr="0023264A">
        <w:t xml:space="preserve"> name&gt;</w:t>
      </w:r>
      <w:r w:rsidR="00670D90">
        <w:t xml:space="preserve"> -</w:t>
      </w:r>
      <w:r>
        <w:t xml:space="preserve"> RFS notices’</w:t>
      </w:r>
      <w:r>
        <w:br w:type="page"/>
      </w:r>
    </w:p>
    <w:p w:rsidR="00A026EC" w:rsidRDefault="00A026EC" w:rsidP="00A026EC">
      <w:pPr>
        <w:pStyle w:val="BodyText"/>
        <w:spacing w:before="1600" w:after="0"/>
      </w:pPr>
    </w:p>
    <w:bookmarkStart w:id="26" w:name="_Toc465161043" w:displacedByCustomXml="next"/>
    <w:sdt>
      <w:sdtPr>
        <w:rPr>
          <w:rFonts w:ascii="Calibri" w:hAnsi="Calibri" w:cs="Times New Roman"/>
          <w:b w:val="0"/>
          <w:bCs w:val="0"/>
          <w:color w:val="auto"/>
          <w:sz w:val="20"/>
          <w:szCs w:val="20"/>
          <w:lang w:eastAsia="en-US"/>
        </w:rPr>
        <w:id w:val="2003318340"/>
        <w:docPartObj>
          <w:docPartGallery w:val="Table of Contents"/>
          <w:docPartUnique/>
        </w:docPartObj>
      </w:sdtPr>
      <w:sdtEndPr>
        <w:rPr>
          <w:rFonts w:ascii="Arial" w:hAnsi="Arial"/>
          <w:noProof/>
        </w:rPr>
      </w:sdtEndPr>
      <w:sdtContent>
        <w:bookmarkEnd w:id="26" w:displacedByCustomXml="prev"/>
        <w:bookmarkStart w:id="27" w:name="_Toc465161044" w:displacedByCustomXml="prev"/>
        <w:p w:rsidR="00A026EC" w:rsidRPr="00FC207F" w:rsidRDefault="00A026EC" w:rsidP="00A026EC">
          <w:pPr>
            <w:pStyle w:val="Heading2"/>
            <w:rPr>
              <w:b w:val="0"/>
              <w:bCs w:val="0"/>
              <w:color w:val="auto"/>
              <w:sz w:val="20"/>
              <w:szCs w:val="20"/>
              <w:lang w:eastAsia="en-US"/>
            </w:rPr>
          </w:pPr>
          <w:r w:rsidRPr="00FC207F">
            <w:rPr>
              <w:b w:val="0"/>
              <w:bCs w:val="0"/>
              <w:color w:val="auto"/>
              <w:sz w:val="20"/>
              <w:szCs w:val="20"/>
              <w:lang w:eastAsia="en-US"/>
            </w:rPr>
            <w:fldChar w:fldCharType="begin"/>
          </w:r>
          <w:r w:rsidRPr="00FC207F">
            <w:rPr>
              <w:b w:val="0"/>
              <w:bCs w:val="0"/>
              <w:color w:val="auto"/>
              <w:sz w:val="20"/>
              <w:szCs w:val="20"/>
              <w:lang w:eastAsia="en-US"/>
            </w:rPr>
            <w:instrText xml:space="preserve"> docproperty TRIMID </w:instrText>
          </w:r>
          <w:r w:rsidRPr="00FC207F">
            <w:rPr>
              <w:b w:val="0"/>
              <w:bCs w:val="0"/>
              <w:color w:val="auto"/>
              <w:sz w:val="20"/>
              <w:szCs w:val="20"/>
              <w:lang w:eastAsia="en-US"/>
            </w:rPr>
            <w:fldChar w:fldCharType="separate"/>
          </w:r>
          <w:bookmarkStart w:id="28" w:name="_Toc468456317"/>
          <w:bookmarkStart w:id="29" w:name="_Toc468091389"/>
          <w:bookmarkStart w:id="30" w:name="_Toc467678098"/>
          <w:bookmarkStart w:id="31" w:name="_Toc467676840"/>
          <w:bookmarkStart w:id="32" w:name="_Toc466877408"/>
          <w:bookmarkStart w:id="33" w:name="_Toc466292198"/>
          <w:bookmarkStart w:id="34" w:name="_Toc466280491"/>
          <w:bookmarkStart w:id="35" w:name="_Toc466280453"/>
          <w:bookmarkStart w:id="36" w:name="_Toc466019045"/>
          <w:bookmarkStart w:id="37" w:name="_Toc465866263"/>
          <w:bookmarkStart w:id="38" w:name="_Toc465849251"/>
          <w:bookmarkStart w:id="39" w:name="_Toc465427128"/>
          <w:bookmarkStart w:id="40" w:name="_Toc465939291"/>
          <w:bookmarkStart w:id="41" w:name="_Toc466015912"/>
          <w:bookmarkStart w:id="42" w:name="_Toc466377387"/>
          <w:bookmarkStart w:id="43" w:name="_Toc466448083"/>
          <w:bookmarkStart w:id="44" w:name="_Toc467571869"/>
          <w:bookmarkStart w:id="45" w:name="_Toc468800842"/>
          <w:r w:rsidR="00DC4CF9">
            <w:rPr>
              <w:b w:val="0"/>
              <w:bCs w:val="0"/>
              <w:color w:val="auto"/>
              <w:sz w:val="20"/>
              <w:szCs w:val="20"/>
              <w:lang w:eastAsia="en-US"/>
            </w:rPr>
            <w:t>CD/16/560777*</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C207F">
            <w:rPr>
              <w:b w:val="0"/>
              <w:bCs w:val="0"/>
              <w:color w:val="auto"/>
              <w:sz w:val="20"/>
              <w:szCs w:val="20"/>
              <w:lang w:eastAsia="en-US"/>
            </w:rPr>
            <w:fldChar w:fldCharType="end"/>
          </w:r>
        </w:p>
        <w:p w:rsidR="00076EB8" w:rsidRDefault="00A026EC" w:rsidP="004067A9">
          <w:pPr>
            <w:pStyle w:val="Heading2"/>
            <w:rPr>
              <w:noProof/>
            </w:rPr>
          </w:pPr>
          <w:bookmarkStart w:id="46" w:name="_Toc465427129"/>
          <w:bookmarkStart w:id="47" w:name="_Toc465849252"/>
          <w:bookmarkStart w:id="48" w:name="_Toc465866264"/>
          <w:bookmarkStart w:id="49" w:name="_Toc465939292"/>
          <w:bookmarkStart w:id="50" w:name="_Toc466019046"/>
          <w:bookmarkStart w:id="51" w:name="_Toc466280454"/>
          <w:bookmarkStart w:id="52" w:name="_Toc466280492"/>
          <w:bookmarkStart w:id="53" w:name="_Toc466292199"/>
          <w:bookmarkStart w:id="54" w:name="_Toc466377388"/>
          <w:bookmarkStart w:id="55" w:name="_Toc466448084"/>
          <w:bookmarkStart w:id="56" w:name="_Toc466877409"/>
          <w:bookmarkStart w:id="57" w:name="_Toc467571870"/>
          <w:bookmarkStart w:id="58" w:name="_Toc467676841"/>
          <w:bookmarkStart w:id="59" w:name="_Toc467678099"/>
          <w:bookmarkStart w:id="60" w:name="_Toc468091390"/>
          <w:bookmarkStart w:id="61" w:name="_Toc468456318"/>
          <w:bookmarkStart w:id="62" w:name="_Toc468800843"/>
          <w:r w:rsidRPr="00324842">
            <w:t>Contents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27"/>
          <w:r w:rsidRPr="00E051C9">
            <w:rPr>
              <w:b w:val="0"/>
              <w:bCs w:val="0"/>
              <w:sz w:val="24"/>
              <w:szCs w:val="24"/>
            </w:rPr>
            <w:fldChar w:fldCharType="begin"/>
          </w:r>
          <w:r w:rsidRPr="00E051C9">
            <w:rPr>
              <w:sz w:val="24"/>
              <w:szCs w:val="24"/>
            </w:rPr>
            <w:instrText xml:space="preserve"> TOC \o "1-3" \h \z \u </w:instrText>
          </w:r>
          <w:r w:rsidRPr="00E051C9">
            <w:rPr>
              <w:b w:val="0"/>
              <w:bCs w:val="0"/>
              <w:sz w:val="24"/>
              <w:szCs w:val="24"/>
            </w:rPr>
            <w:fldChar w:fldCharType="separate"/>
          </w:r>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44" w:history="1">
            <w:r w:rsidR="00076EB8" w:rsidRPr="00855DA9">
              <w:rPr>
                <w:rStyle w:val="Hyperlink"/>
                <w:noProof/>
              </w:rPr>
              <w:t>1. Introduction</w:t>
            </w:r>
            <w:r w:rsidR="00076EB8">
              <w:rPr>
                <w:noProof/>
                <w:webHidden/>
              </w:rPr>
              <w:tab/>
            </w:r>
            <w:r w:rsidR="00076EB8">
              <w:rPr>
                <w:noProof/>
                <w:webHidden/>
              </w:rPr>
              <w:fldChar w:fldCharType="begin"/>
            </w:r>
            <w:r w:rsidR="00076EB8">
              <w:rPr>
                <w:noProof/>
                <w:webHidden/>
              </w:rPr>
              <w:instrText xml:space="preserve"> PAGEREF _Toc468800844 \h </w:instrText>
            </w:r>
            <w:r w:rsidR="00076EB8">
              <w:rPr>
                <w:noProof/>
                <w:webHidden/>
              </w:rPr>
            </w:r>
            <w:r w:rsidR="00076EB8">
              <w:rPr>
                <w:noProof/>
                <w:webHidden/>
              </w:rPr>
              <w:fldChar w:fldCharType="separate"/>
            </w:r>
            <w:r>
              <w:rPr>
                <w:noProof/>
                <w:webHidden/>
              </w:rPr>
              <w:t>3</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45" w:history="1">
            <w:r w:rsidR="00076EB8" w:rsidRPr="00855DA9">
              <w:rPr>
                <w:rStyle w:val="Hyperlink"/>
                <w:noProof/>
              </w:rPr>
              <w:t>2. Background</w:t>
            </w:r>
            <w:r w:rsidR="00076EB8">
              <w:rPr>
                <w:noProof/>
                <w:webHidden/>
              </w:rPr>
              <w:tab/>
            </w:r>
            <w:r w:rsidR="00076EB8">
              <w:rPr>
                <w:noProof/>
                <w:webHidden/>
              </w:rPr>
              <w:fldChar w:fldCharType="begin"/>
            </w:r>
            <w:r w:rsidR="00076EB8">
              <w:rPr>
                <w:noProof/>
                <w:webHidden/>
              </w:rPr>
              <w:instrText xml:space="preserve"> PAGEREF _Toc468800845 \h </w:instrText>
            </w:r>
            <w:r w:rsidR="00076EB8">
              <w:rPr>
                <w:noProof/>
                <w:webHidden/>
              </w:rPr>
            </w:r>
            <w:r w:rsidR="00076EB8">
              <w:rPr>
                <w:noProof/>
                <w:webHidden/>
              </w:rPr>
              <w:fldChar w:fldCharType="separate"/>
            </w:r>
            <w:r>
              <w:rPr>
                <w:noProof/>
                <w:webHidden/>
              </w:rPr>
              <w:t>3</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46" w:history="1">
            <w:r w:rsidR="00076EB8" w:rsidRPr="00855DA9">
              <w:rPr>
                <w:rStyle w:val="Hyperlink"/>
                <w:noProof/>
              </w:rPr>
              <w:t>3. Purpose</w:t>
            </w:r>
            <w:r w:rsidR="00076EB8">
              <w:rPr>
                <w:noProof/>
                <w:webHidden/>
              </w:rPr>
              <w:tab/>
            </w:r>
            <w:r w:rsidR="00076EB8">
              <w:rPr>
                <w:noProof/>
                <w:webHidden/>
              </w:rPr>
              <w:fldChar w:fldCharType="begin"/>
            </w:r>
            <w:r w:rsidR="00076EB8">
              <w:rPr>
                <w:noProof/>
                <w:webHidden/>
              </w:rPr>
              <w:instrText xml:space="preserve"> PAGEREF _Toc468800846 \h </w:instrText>
            </w:r>
            <w:r w:rsidR="00076EB8">
              <w:rPr>
                <w:noProof/>
                <w:webHidden/>
              </w:rPr>
            </w:r>
            <w:r w:rsidR="00076EB8">
              <w:rPr>
                <w:noProof/>
                <w:webHidden/>
              </w:rPr>
              <w:fldChar w:fldCharType="separate"/>
            </w:r>
            <w:r>
              <w:rPr>
                <w:noProof/>
                <w:webHidden/>
              </w:rPr>
              <w:t>3</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47" w:history="1">
            <w:r w:rsidR="00076EB8" w:rsidRPr="00855DA9">
              <w:rPr>
                <w:rStyle w:val="Hyperlink"/>
                <w:noProof/>
              </w:rPr>
              <w:t>4. The Consumer Assistance and Advocacy Program</w:t>
            </w:r>
            <w:r w:rsidR="00076EB8">
              <w:rPr>
                <w:noProof/>
                <w:webHidden/>
              </w:rPr>
              <w:tab/>
            </w:r>
            <w:r w:rsidR="00076EB8">
              <w:rPr>
                <w:noProof/>
                <w:webHidden/>
              </w:rPr>
              <w:fldChar w:fldCharType="begin"/>
            </w:r>
            <w:r w:rsidR="00076EB8">
              <w:rPr>
                <w:noProof/>
                <w:webHidden/>
              </w:rPr>
              <w:instrText xml:space="preserve"> PAGEREF _Toc468800847 \h </w:instrText>
            </w:r>
            <w:r w:rsidR="00076EB8">
              <w:rPr>
                <w:noProof/>
                <w:webHidden/>
              </w:rPr>
            </w:r>
            <w:r w:rsidR="00076EB8">
              <w:rPr>
                <w:noProof/>
                <w:webHidden/>
              </w:rPr>
              <w:fldChar w:fldCharType="separate"/>
            </w:r>
            <w:r>
              <w:rPr>
                <w:noProof/>
                <w:webHidden/>
              </w:rPr>
              <w:t>3</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48" w:history="1">
            <w:r w:rsidR="00076EB8" w:rsidRPr="00855DA9">
              <w:rPr>
                <w:rStyle w:val="Hyperlink"/>
                <w:noProof/>
              </w:rPr>
              <w:t>4.1 The Consumer Advice Service</w:t>
            </w:r>
            <w:r w:rsidR="00076EB8">
              <w:rPr>
                <w:noProof/>
                <w:webHidden/>
              </w:rPr>
              <w:tab/>
            </w:r>
            <w:r w:rsidR="00076EB8">
              <w:rPr>
                <w:noProof/>
                <w:webHidden/>
              </w:rPr>
              <w:fldChar w:fldCharType="begin"/>
            </w:r>
            <w:r w:rsidR="00076EB8">
              <w:rPr>
                <w:noProof/>
                <w:webHidden/>
              </w:rPr>
              <w:instrText xml:space="preserve"> PAGEREF _Toc468800848 \h </w:instrText>
            </w:r>
            <w:r w:rsidR="00076EB8">
              <w:rPr>
                <w:noProof/>
                <w:webHidden/>
              </w:rPr>
            </w:r>
            <w:r w:rsidR="00076EB8">
              <w:rPr>
                <w:noProof/>
                <w:webHidden/>
              </w:rPr>
              <w:fldChar w:fldCharType="separate"/>
            </w:r>
            <w:r>
              <w:rPr>
                <w:noProof/>
                <w:webHidden/>
              </w:rPr>
              <w:t>4</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49" w:history="1">
            <w:r w:rsidR="00076EB8" w:rsidRPr="00855DA9">
              <w:rPr>
                <w:rStyle w:val="Hyperlink"/>
                <w:noProof/>
              </w:rPr>
              <w:t>4.2 CAAP Casework</w:t>
            </w:r>
            <w:r w:rsidR="00076EB8">
              <w:rPr>
                <w:noProof/>
                <w:webHidden/>
              </w:rPr>
              <w:tab/>
            </w:r>
            <w:r w:rsidR="00076EB8">
              <w:rPr>
                <w:noProof/>
                <w:webHidden/>
              </w:rPr>
              <w:fldChar w:fldCharType="begin"/>
            </w:r>
            <w:r w:rsidR="00076EB8">
              <w:rPr>
                <w:noProof/>
                <w:webHidden/>
              </w:rPr>
              <w:instrText xml:space="preserve"> PAGEREF _Toc468800849 \h </w:instrText>
            </w:r>
            <w:r w:rsidR="00076EB8">
              <w:rPr>
                <w:noProof/>
                <w:webHidden/>
              </w:rPr>
            </w:r>
            <w:r w:rsidR="00076EB8">
              <w:rPr>
                <w:noProof/>
                <w:webHidden/>
              </w:rPr>
              <w:fldChar w:fldCharType="separate"/>
            </w:r>
            <w:r>
              <w:rPr>
                <w:noProof/>
                <w:webHidden/>
              </w:rPr>
              <w:t>5</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0" w:history="1">
            <w:r w:rsidR="00076EB8" w:rsidRPr="00855DA9">
              <w:rPr>
                <w:rStyle w:val="Hyperlink"/>
                <w:noProof/>
              </w:rPr>
              <w:t>4.3 Professional development for consumer workers</w:t>
            </w:r>
            <w:r w:rsidR="00076EB8">
              <w:rPr>
                <w:noProof/>
                <w:webHidden/>
              </w:rPr>
              <w:tab/>
            </w:r>
            <w:r w:rsidR="00076EB8">
              <w:rPr>
                <w:noProof/>
                <w:webHidden/>
              </w:rPr>
              <w:fldChar w:fldCharType="begin"/>
            </w:r>
            <w:r w:rsidR="00076EB8">
              <w:rPr>
                <w:noProof/>
                <w:webHidden/>
              </w:rPr>
              <w:instrText xml:space="preserve"> PAGEREF _Toc468800850 \h </w:instrText>
            </w:r>
            <w:r w:rsidR="00076EB8">
              <w:rPr>
                <w:noProof/>
                <w:webHidden/>
              </w:rPr>
            </w:r>
            <w:r w:rsidR="00076EB8">
              <w:rPr>
                <w:noProof/>
                <w:webHidden/>
              </w:rPr>
              <w:fldChar w:fldCharType="separate"/>
            </w:r>
            <w:r>
              <w:rPr>
                <w:noProof/>
                <w:webHidden/>
              </w:rPr>
              <w:t>6</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1" w:history="1">
            <w:r w:rsidR="00076EB8" w:rsidRPr="00855DA9">
              <w:rPr>
                <w:rStyle w:val="Hyperlink"/>
                <w:noProof/>
              </w:rPr>
              <w:t>4.4 Consumer campaigns and media</w:t>
            </w:r>
            <w:r w:rsidR="00076EB8">
              <w:rPr>
                <w:noProof/>
                <w:webHidden/>
              </w:rPr>
              <w:tab/>
            </w:r>
            <w:r w:rsidR="00076EB8">
              <w:rPr>
                <w:noProof/>
                <w:webHidden/>
              </w:rPr>
              <w:fldChar w:fldCharType="begin"/>
            </w:r>
            <w:r w:rsidR="00076EB8">
              <w:rPr>
                <w:noProof/>
                <w:webHidden/>
              </w:rPr>
              <w:instrText xml:space="preserve"> PAGEREF _Toc468800851 \h </w:instrText>
            </w:r>
            <w:r w:rsidR="00076EB8">
              <w:rPr>
                <w:noProof/>
                <w:webHidden/>
              </w:rPr>
            </w:r>
            <w:r w:rsidR="00076EB8">
              <w:rPr>
                <w:noProof/>
                <w:webHidden/>
              </w:rPr>
              <w:fldChar w:fldCharType="separate"/>
            </w:r>
            <w:r>
              <w:rPr>
                <w:noProof/>
                <w:webHidden/>
              </w:rPr>
              <w:t>7</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2" w:history="1">
            <w:r w:rsidR="00076EB8" w:rsidRPr="00855DA9">
              <w:rPr>
                <w:rStyle w:val="Hyperlink"/>
                <w:noProof/>
              </w:rPr>
              <w:t>4.5 Consumer policy and advocacy</w:t>
            </w:r>
            <w:r w:rsidR="00076EB8">
              <w:rPr>
                <w:noProof/>
                <w:webHidden/>
              </w:rPr>
              <w:tab/>
            </w:r>
            <w:r w:rsidR="00076EB8">
              <w:rPr>
                <w:noProof/>
                <w:webHidden/>
              </w:rPr>
              <w:fldChar w:fldCharType="begin"/>
            </w:r>
            <w:r w:rsidR="00076EB8">
              <w:rPr>
                <w:noProof/>
                <w:webHidden/>
              </w:rPr>
              <w:instrText xml:space="preserve"> PAGEREF _Toc468800852 \h </w:instrText>
            </w:r>
            <w:r w:rsidR="00076EB8">
              <w:rPr>
                <w:noProof/>
                <w:webHidden/>
              </w:rPr>
            </w:r>
            <w:r w:rsidR="00076EB8">
              <w:rPr>
                <w:noProof/>
                <w:webHidden/>
              </w:rPr>
              <w:fldChar w:fldCharType="separate"/>
            </w:r>
            <w:r>
              <w:rPr>
                <w:noProof/>
                <w:webHidden/>
              </w:rPr>
              <w:t>7</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53" w:history="1">
            <w:r w:rsidR="00076EB8" w:rsidRPr="00855DA9">
              <w:rPr>
                <w:rStyle w:val="Hyperlink"/>
                <w:noProof/>
              </w:rPr>
              <w:t>5. Evaluation of CAAP</w:t>
            </w:r>
            <w:r w:rsidR="00076EB8">
              <w:rPr>
                <w:noProof/>
                <w:webHidden/>
              </w:rPr>
              <w:tab/>
            </w:r>
            <w:r w:rsidR="00076EB8">
              <w:rPr>
                <w:noProof/>
                <w:webHidden/>
              </w:rPr>
              <w:fldChar w:fldCharType="begin"/>
            </w:r>
            <w:r w:rsidR="00076EB8">
              <w:rPr>
                <w:noProof/>
                <w:webHidden/>
              </w:rPr>
              <w:instrText xml:space="preserve"> PAGEREF _Toc468800853 \h </w:instrText>
            </w:r>
            <w:r w:rsidR="00076EB8">
              <w:rPr>
                <w:noProof/>
                <w:webHidden/>
              </w:rPr>
            </w:r>
            <w:r w:rsidR="00076EB8">
              <w:rPr>
                <w:noProof/>
                <w:webHidden/>
              </w:rPr>
              <w:fldChar w:fldCharType="separate"/>
            </w:r>
            <w:r>
              <w:rPr>
                <w:noProof/>
                <w:webHidden/>
              </w:rPr>
              <w:t>7</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54" w:history="1">
            <w:r w:rsidR="00076EB8" w:rsidRPr="00855DA9">
              <w:rPr>
                <w:rStyle w:val="Hyperlink"/>
                <w:noProof/>
              </w:rPr>
              <w:t>6. Relationship with CAV</w:t>
            </w:r>
            <w:r w:rsidR="00076EB8">
              <w:rPr>
                <w:noProof/>
                <w:webHidden/>
              </w:rPr>
              <w:tab/>
            </w:r>
            <w:r w:rsidR="00076EB8">
              <w:rPr>
                <w:noProof/>
                <w:webHidden/>
              </w:rPr>
              <w:fldChar w:fldCharType="begin"/>
            </w:r>
            <w:r w:rsidR="00076EB8">
              <w:rPr>
                <w:noProof/>
                <w:webHidden/>
              </w:rPr>
              <w:instrText xml:space="preserve"> PAGEREF _Toc468800854 \h </w:instrText>
            </w:r>
            <w:r w:rsidR="00076EB8">
              <w:rPr>
                <w:noProof/>
                <w:webHidden/>
              </w:rPr>
            </w:r>
            <w:r w:rsidR="00076EB8">
              <w:rPr>
                <w:noProof/>
                <w:webHidden/>
              </w:rPr>
              <w:fldChar w:fldCharType="separate"/>
            </w:r>
            <w:r>
              <w:rPr>
                <w:noProof/>
                <w:webHidden/>
              </w:rPr>
              <w:t>7</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55" w:history="1">
            <w:r w:rsidR="00076EB8" w:rsidRPr="00855DA9">
              <w:rPr>
                <w:rStyle w:val="Hyperlink"/>
                <w:noProof/>
              </w:rPr>
              <w:t>7. Funding</w:t>
            </w:r>
            <w:r w:rsidR="00076EB8">
              <w:rPr>
                <w:noProof/>
                <w:webHidden/>
              </w:rPr>
              <w:tab/>
            </w:r>
            <w:r w:rsidR="00076EB8">
              <w:rPr>
                <w:noProof/>
                <w:webHidden/>
              </w:rPr>
              <w:fldChar w:fldCharType="begin"/>
            </w:r>
            <w:r w:rsidR="00076EB8">
              <w:rPr>
                <w:noProof/>
                <w:webHidden/>
              </w:rPr>
              <w:instrText xml:space="preserve"> PAGEREF _Toc468800855 \h </w:instrText>
            </w:r>
            <w:r w:rsidR="00076EB8">
              <w:rPr>
                <w:noProof/>
                <w:webHidden/>
              </w:rPr>
            </w:r>
            <w:r w:rsidR="00076EB8">
              <w:rPr>
                <w:noProof/>
                <w:webHidden/>
              </w:rPr>
              <w:fldChar w:fldCharType="separate"/>
            </w:r>
            <w:r>
              <w:rPr>
                <w:noProof/>
                <w:webHidden/>
              </w:rPr>
              <w:t>8</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6" w:history="1">
            <w:r w:rsidR="00076EB8" w:rsidRPr="00855DA9">
              <w:rPr>
                <w:rStyle w:val="Hyperlink"/>
                <w:noProof/>
              </w:rPr>
              <w:t>7.1 Funding allocation</w:t>
            </w:r>
            <w:r w:rsidR="00076EB8">
              <w:rPr>
                <w:noProof/>
                <w:webHidden/>
              </w:rPr>
              <w:tab/>
            </w:r>
            <w:r w:rsidR="00076EB8">
              <w:rPr>
                <w:noProof/>
                <w:webHidden/>
              </w:rPr>
              <w:fldChar w:fldCharType="begin"/>
            </w:r>
            <w:r w:rsidR="00076EB8">
              <w:rPr>
                <w:noProof/>
                <w:webHidden/>
              </w:rPr>
              <w:instrText xml:space="preserve"> PAGEREF _Toc468800856 \h </w:instrText>
            </w:r>
            <w:r w:rsidR="00076EB8">
              <w:rPr>
                <w:noProof/>
                <w:webHidden/>
              </w:rPr>
            </w:r>
            <w:r w:rsidR="00076EB8">
              <w:rPr>
                <w:noProof/>
                <w:webHidden/>
              </w:rPr>
              <w:fldChar w:fldCharType="separate"/>
            </w:r>
            <w:r>
              <w:rPr>
                <w:noProof/>
                <w:webHidden/>
              </w:rPr>
              <w:t>8</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7" w:history="1">
            <w:r w:rsidR="00076EB8" w:rsidRPr="00855DA9">
              <w:rPr>
                <w:rStyle w:val="Hyperlink"/>
                <w:noProof/>
              </w:rPr>
              <w:t>7.2 Travel</w:t>
            </w:r>
            <w:r w:rsidR="00076EB8">
              <w:rPr>
                <w:noProof/>
                <w:webHidden/>
              </w:rPr>
              <w:tab/>
            </w:r>
            <w:r w:rsidR="00076EB8">
              <w:rPr>
                <w:noProof/>
                <w:webHidden/>
              </w:rPr>
              <w:fldChar w:fldCharType="begin"/>
            </w:r>
            <w:r w:rsidR="00076EB8">
              <w:rPr>
                <w:noProof/>
                <w:webHidden/>
              </w:rPr>
              <w:instrText xml:space="preserve"> PAGEREF _Toc468800857 \h </w:instrText>
            </w:r>
            <w:r w:rsidR="00076EB8">
              <w:rPr>
                <w:noProof/>
                <w:webHidden/>
              </w:rPr>
            </w:r>
            <w:r w:rsidR="00076EB8">
              <w:rPr>
                <w:noProof/>
                <w:webHidden/>
              </w:rPr>
              <w:fldChar w:fldCharType="separate"/>
            </w:r>
            <w:r>
              <w:rPr>
                <w:noProof/>
                <w:webHidden/>
              </w:rPr>
              <w:t>8</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8" w:history="1">
            <w:r w:rsidR="00076EB8" w:rsidRPr="00855DA9">
              <w:rPr>
                <w:rStyle w:val="Hyperlink"/>
                <w:noProof/>
              </w:rPr>
              <w:t>7.3 Interpreting services</w:t>
            </w:r>
            <w:r w:rsidR="00076EB8">
              <w:rPr>
                <w:noProof/>
                <w:webHidden/>
              </w:rPr>
              <w:tab/>
            </w:r>
            <w:r w:rsidR="00076EB8">
              <w:rPr>
                <w:noProof/>
                <w:webHidden/>
              </w:rPr>
              <w:fldChar w:fldCharType="begin"/>
            </w:r>
            <w:r w:rsidR="00076EB8">
              <w:rPr>
                <w:noProof/>
                <w:webHidden/>
              </w:rPr>
              <w:instrText xml:space="preserve"> PAGEREF _Toc468800858 \h </w:instrText>
            </w:r>
            <w:r w:rsidR="00076EB8">
              <w:rPr>
                <w:noProof/>
                <w:webHidden/>
              </w:rPr>
            </w:r>
            <w:r w:rsidR="00076EB8">
              <w:rPr>
                <w:noProof/>
                <w:webHidden/>
              </w:rPr>
              <w:fldChar w:fldCharType="separate"/>
            </w:r>
            <w:r>
              <w:rPr>
                <w:noProof/>
                <w:webHidden/>
              </w:rPr>
              <w:t>9</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59" w:history="1">
            <w:r w:rsidR="00076EB8" w:rsidRPr="00855DA9">
              <w:rPr>
                <w:rStyle w:val="Hyperlink"/>
                <w:noProof/>
              </w:rPr>
              <w:t>7.4 Disbursements</w:t>
            </w:r>
            <w:r w:rsidR="00076EB8">
              <w:rPr>
                <w:noProof/>
                <w:webHidden/>
              </w:rPr>
              <w:tab/>
            </w:r>
            <w:r w:rsidR="00076EB8">
              <w:rPr>
                <w:noProof/>
                <w:webHidden/>
              </w:rPr>
              <w:fldChar w:fldCharType="begin"/>
            </w:r>
            <w:r w:rsidR="00076EB8">
              <w:rPr>
                <w:noProof/>
                <w:webHidden/>
              </w:rPr>
              <w:instrText xml:space="preserve"> PAGEREF _Toc468800859 \h </w:instrText>
            </w:r>
            <w:r w:rsidR="00076EB8">
              <w:rPr>
                <w:noProof/>
                <w:webHidden/>
              </w:rPr>
            </w:r>
            <w:r w:rsidR="00076EB8">
              <w:rPr>
                <w:noProof/>
                <w:webHidden/>
              </w:rPr>
              <w:fldChar w:fldCharType="separate"/>
            </w:r>
            <w:r>
              <w:rPr>
                <w:noProof/>
                <w:webHidden/>
              </w:rPr>
              <w:t>9</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60" w:history="1">
            <w:r w:rsidR="00076EB8" w:rsidRPr="00855DA9">
              <w:rPr>
                <w:rStyle w:val="Hyperlink"/>
                <w:noProof/>
              </w:rPr>
              <w:t>7.5 Funding agreement</w:t>
            </w:r>
            <w:r w:rsidR="00076EB8">
              <w:rPr>
                <w:noProof/>
                <w:webHidden/>
              </w:rPr>
              <w:tab/>
            </w:r>
            <w:r w:rsidR="00076EB8">
              <w:rPr>
                <w:noProof/>
                <w:webHidden/>
              </w:rPr>
              <w:fldChar w:fldCharType="begin"/>
            </w:r>
            <w:r w:rsidR="00076EB8">
              <w:rPr>
                <w:noProof/>
                <w:webHidden/>
              </w:rPr>
              <w:instrText xml:space="preserve"> PAGEREF _Toc468800860 \h </w:instrText>
            </w:r>
            <w:r w:rsidR="00076EB8">
              <w:rPr>
                <w:noProof/>
                <w:webHidden/>
              </w:rPr>
            </w:r>
            <w:r w:rsidR="00076EB8">
              <w:rPr>
                <w:noProof/>
                <w:webHidden/>
              </w:rPr>
              <w:fldChar w:fldCharType="separate"/>
            </w:r>
            <w:r>
              <w:rPr>
                <w:noProof/>
                <w:webHidden/>
              </w:rPr>
              <w:t>9</w:t>
            </w:r>
            <w:r w:rsidR="00076EB8">
              <w:rPr>
                <w:noProof/>
                <w:webHidden/>
              </w:rPr>
              <w:fldChar w:fldCharType="end"/>
            </w:r>
          </w:hyperlink>
        </w:p>
        <w:p w:rsidR="00076EB8" w:rsidRDefault="00DC4CF9" w:rsidP="007416B9">
          <w:pPr>
            <w:pStyle w:val="TOC3"/>
            <w:tabs>
              <w:tab w:val="right" w:leader="dot" w:pos="9639"/>
            </w:tabs>
            <w:rPr>
              <w:rFonts w:asciiTheme="minorHAnsi" w:eastAsiaTheme="minorEastAsia" w:hAnsiTheme="minorHAnsi" w:cstheme="minorBidi"/>
              <w:noProof/>
              <w:sz w:val="22"/>
              <w:szCs w:val="22"/>
              <w:lang w:eastAsia="en-AU"/>
            </w:rPr>
          </w:pPr>
          <w:hyperlink w:anchor="_Toc468800861" w:history="1">
            <w:r w:rsidR="00076EB8" w:rsidRPr="00855DA9">
              <w:rPr>
                <w:rStyle w:val="Hyperlink"/>
                <w:noProof/>
              </w:rPr>
              <w:t>7.6 Payments</w:t>
            </w:r>
            <w:r w:rsidR="00076EB8">
              <w:rPr>
                <w:noProof/>
                <w:webHidden/>
              </w:rPr>
              <w:tab/>
            </w:r>
            <w:r w:rsidR="00076EB8">
              <w:rPr>
                <w:noProof/>
                <w:webHidden/>
              </w:rPr>
              <w:fldChar w:fldCharType="begin"/>
            </w:r>
            <w:r w:rsidR="00076EB8">
              <w:rPr>
                <w:noProof/>
                <w:webHidden/>
              </w:rPr>
              <w:instrText xml:space="preserve"> PAGEREF _Toc468800861 \h </w:instrText>
            </w:r>
            <w:r w:rsidR="00076EB8">
              <w:rPr>
                <w:noProof/>
                <w:webHidden/>
              </w:rPr>
            </w:r>
            <w:r w:rsidR="00076EB8">
              <w:rPr>
                <w:noProof/>
                <w:webHidden/>
              </w:rPr>
              <w:fldChar w:fldCharType="separate"/>
            </w:r>
            <w:r>
              <w:rPr>
                <w:noProof/>
                <w:webHidden/>
              </w:rPr>
              <w:t>9</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62" w:history="1">
            <w:r w:rsidR="00076EB8" w:rsidRPr="00855DA9">
              <w:rPr>
                <w:rStyle w:val="Hyperlink"/>
                <w:noProof/>
              </w:rPr>
              <w:t>8. Performance monitoring framework</w:t>
            </w:r>
            <w:r w:rsidR="00076EB8">
              <w:rPr>
                <w:noProof/>
                <w:webHidden/>
              </w:rPr>
              <w:tab/>
            </w:r>
            <w:r w:rsidR="00076EB8">
              <w:rPr>
                <w:noProof/>
                <w:webHidden/>
              </w:rPr>
              <w:fldChar w:fldCharType="begin"/>
            </w:r>
            <w:r w:rsidR="00076EB8">
              <w:rPr>
                <w:noProof/>
                <w:webHidden/>
              </w:rPr>
              <w:instrText xml:space="preserve"> PAGEREF _Toc468800862 \h </w:instrText>
            </w:r>
            <w:r w:rsidR="00076EB8">
              <w:rPr>
                <w:noProof/>
                <w:webHidden/>
              </w:rPr>
            </w:r>
            <w:r w:rsidR="00076EB8">
              <w:rPr>
                <w:noProof/>
                <w:webHidden/>
              </w:rPr>
              <w:fldChar w:fldCharType="separate"/>
            </w:r>
            <w:r>
              <w:rPr>
                <w:noProof/>
                <w:webHidden/>
              </w:rPr>
              <w:t>10</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63" w:history="1">
            <w:r w:rsidR="00076EB8" w:rsidRPr="00855DA9">
              <w:rPr>
                <w:rStyle w:val="Hyperlink"/>
                <w:noProof/>
              </w:rPr>
              <w:t>9. Making an application</w:t>
            </w:r>
            <w:r w:rsidR="00076EB8">
              <w:rPr>
                <w:noProof/>
                <w:webHidden/>
              </w:rPr>
              <w:tab/>
            </w:r>
            <w:r w:rsidR="00076EB8">
              <w:rPr>
                <w:noProof/>
                <w:webHidden/>
              </w:rPr>
              <w:fldChar w:fldCharType="begin"/>
            </w:r>
            <w:r w:rsidR="00076EB8">
              <w:rPr>
                <w:noProof/>
                <w:webHidden/>
              </w:rPr>
              <w:instrText xml:space="preserve"> PAGEREF _Toc468800863 \h </w:instrText>
            </w:r>
            <w:r w:rsidR="00076EB8">
              <w:rPr>
                <w:noProof/>
                <w:webHidden/>
              </w:rPr>
            </w:r>
            <w:r w:rsidR="00076EB8">
              <w:rPr>
                <w:noProof/>
                <w:webHidden/>
              </w:rPr>
              <w:fldChar w:fldCharType="separate"/>
            </w:r>
            <w:r>
              <w:rPr>
                <w:noProof/>
                <w:webHidden/>
              </w:rPr>
              <w:t>10</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64" w:history="1">
            <w:r w:rsidR="00076EB8" w:rsidRPr="00855DA9">
              <w:rPr>
                <w:rStyle w:val="Hyperlink"/>
                <w:noProof/>
              </w:rPr>
              <w:t>10. Contact details</w:t>
            </w:r>
            <w:r w:rsidR="00076EB8">
              <w:rPr>
                <w:noProof/>
                <w:webHidden/>
              </w:rPr>
              <w:tab/>
            </w:r>
            <w:r w:rsidR="00076EB8">
              <w:rPr>
                <w:noProof/>
                <w:webHidden/>
              </w:rPr>
              <w:fldChar w:fldCharType="begin"/>
            </w:r>
            <w:r w:rsidR="00076EB8">
              <w:rPr>
                <w:noProof/>
                <w:webHidden/>
              </w:rPr>
              <w:instrText xml:space="preserve"> PAGEREF _Toc468800864 \h </w:instrText>
            </w:r>
            <w:r w:rsidR="00076EB8">
              <w:rPr>
                <w:noProof/>
                <w:webHidden/>
              </w:rPr>
            </w:r>
            <w:r w:rsidR="00076EB8">
              <w:rPr>
                <w:noProof/>
                <w:webHidden/>
              </w:rPr>
              <w:fldChar w:fldCharType="separate"/>
            </w:r>
            <w:r>
              <w:rPr>
                <w:noProof/>
                <w:webHidden/>
              </w:rPr>
              <w:t>11</w:t>
            </w:r>
            <w:r w:rsidR="00076EB8">
              <w:rPr>
                <w:noProof/>
                <w:webHidden/>
              </w:rPr>
              <w:fldChar w:fldCharType="end"/>
            </w:r>
          </w:hyperlink>
        </w:p>
        <w:p w:rsidR="00076EB8" w:rsidRDefault="00DC4CF9" w:rsidP="007416B9">
          <w:pPr>
            <w:pStyle w:val="TOC2"/>
            <w:tabs>
              <w:tab w:val="right" w:leader="dot" w:pos="9639"/>
            </w:tabs>
            <w:rPr>
              <w:rFonts w:asciiTheme="minorHAnsi" w:eastAsiaTheme="minorEastAsia" w:hAnsiTheme="minorHAnsi" w:cstheme="minorBidi"/>
              <w:noProof/>
              <w:sz w:val="22"/>
              <w:szCs w:val="22"/>
              <w:lang w:eastAsia="en-AU"/>
            </w:rPr>
          </w:pPr>
          <w:hyperlink w:anchor="_Toc468800865" w:history="1">
            <w:r w:rsidR="00076EB8" w:rsidRPr="00855DA9">
              <w:rPr>
                <w:rStyle w:val="Hyperlink"/>
                <w:noProof/>
              </w:rPr>
              <w:t>11. Supporting information</w:t>
            </w:r>
            <w:r w:rsidR="00076EB8">
              <w:rPr>
                <w:noProof/>
                <w:webHidden/>
              </w:rPr>
              <w:tab/>
            </w:r>
            <w:r w:rsidR="00076EB8">
              <w:rPr>
                <w:noProof/>
                <w:webHidden/>
              </w:rPr>
              <w:fldChar w:fldCharType="begin"/>
            </w:r>
            <w:r w:rsidR="00076EB8">
              <w:rPr>
                <w:noProof/>
                <w:webHidden/>
              </w:rPr>
              <w:instrText xml:space="preserve"> PAGEREF _Toc468800865 \h </w:instrText>
            </w:r>
            <w:r w:rsidR="00076EB8">
              <w:rPr>
                <w:noProof/>
                <w:webHidden/>
              </w:rPr>
            </w:r>
            <w:r w:rsidR="00076EB8">
              <w:rPr>
                <w:noProof/>
                <w:webHidden/>
              </w:rPr>
              <w:fldChar w:fldCharType="separate"/>
            </w:r>
            <w:r>
              <w:rPr>
                <w:noProof/>
                <w:webHidden/>
              </w:rPr>
              <w:t>11</w:t>
            </w:r>
            <w:r w:rsidR="00076EB8">
              <w:rPr>
                <w:noProof/>
                <w:webHidden/>
              </w:rPr>
              <w:fldChar w:fldCharType="end"/>
            </w:r>
          </w:hyperlink>
        </w:p>
        <w:p w:rsidR="00A026EC" w:rsidRDefault="00A026EC" w:rsidP="00A026EC">
          <w:pPr>
            <w:pStyle w:val="TOC2"/>
            <w:rPr>
              <w:noProof/>
            </w:rPr>
          </w:pPr>
          <w:r w:rsidRPr="00E051C9">
            <w:rPr>
              <w:rFonts w:cs="Arial"/>
              <w:b/>
              <w:bCs/>
              <w:noProof/>
              <w:sz w:val="24"/>
              <w:szCs w:val="24"/>
            </w:rPr>
            <w:fldChar w:fldCharType="end"/>
          </w:r>
        </w:p>
      </w:sdtContent>
    </w:sdt>
    <w:p w:rsidR="00A026EC" w:rsidRDefault="00A026EC" w:rsidP="00A026EC">
      <w:pPr>
        <w:rPr>
          <w:rFonts w:cs="Arial"/>
          <w:sz w:val="24"/>
          <w:szCs w:val="18"/>
        </w:rPr>
      </w:pPr>
      <w:r>
        <w:br w:type="page"/>
      </w:r>
    </w:p>
    <w:p w:rsidR="00A026EC" w:rsidRPr="00324842" w:rsidRDefault="00A026EC" w:rsidP="00A026EC">
      <w:pPr>
        <w:pStyle w:val="Heading2"/>
      </w:pPr>
      <w:bookmarkStart w:id="63" w:name="_Toc468800844"/>
      <w:r>
        <w:lastRenderedPageBreak/>
        <w:t xml:space="preserve">1. </w:t>
      </w:r>
      <w:r w:rsidRPr="00324842">
        <w:t>Introduction</w:t>
      </w:r>
      <w:bookmarkEnd w:id="18"/>
      <w:bookmarkEnd w:id="19"/>
      <w:bookmarkEnd w:id="20"/>
      <w:bookmarkEnd w:id="63"/>
    </w:p>
    <w:p w:rsidR="00A026EC" w:rsidRDefault="00A026EC" w:rsidP="00A026EC">
      <w:pPr>
        <w:pStyle w:val="BodyText"/>
      </w:pPr>
      <w:r w:rsidRPr="0029003B">
        <w:t xml:space="preserve">This Request for Service (RFS) is for the provision of the </w:t>
      </w:r>
      <w:r>
        <w:t>state-wide</w:t>
      </w:r>
      <w:r w:rsidRPr="0029003B">
        <w:t xml:space="preserve"> </w:t>
      </w:r>
      <w:r>
        <w:t>Consumer Assistance and Advocacy Program</w:t>
      </w:r>
      <w:r w:rsidR="00670D90">
        <w:t xml:space="preserve"> (CAAP)</w:t>
      </w:r>
      <w:r>
        <w:t>.</w:t>
      </w:r>
    </w:p>
    <w:p w:rsidR="00A026EC" w:rsidRPr="006C750E" w:rsidRDefault="00A026EC" w:rsidP="00A026EC">
      <w:pPr>
        <w:pStyle w:val="BodyText"/>
      </w:pPr>
      <w:r w:rsidRPr="0029003B">
        <w:t>Th</w:t>
      </w:r>
      <w:r>
        <w:t>is</w:t>
      </w:r>
      <w:r w:rsidRPr="0029003B">
        <w:t xml:space="preserve"> RFS is open to not-for-profit community </w:t>
      </w:r>
      <w:r>
        <w:t>organisations</w:t>
      </w:r>
      <w:r w:rsidRPr="0029003B">
        <w:t xml:space="preserve"> with demonstrated current experience in delivering </w:t>
      </w:r>
      <w:r>
        <w:t>consumer</w:t>
      </w:r>
      <w:r w:rsidRPr="0029003B">
        <w:t xml:space="preserve"> support services to community </w:t>
      </w:r>
      <w:r>
        <w:t>organisations</w:t>
      </w:r>
      <w:r w:rsidRPr="006B2BAF">
        <w:t xml:space="preserve"> </w:t>
      </w:r>
      <w:r>
        <w:t>and vulnerable and disadvantaged consumers across Victoria.</w:t>
      </w:r>
    </w:p>
    <w:p w:rsidR="00A026EC" w:rsidRPr="00B97637" w:rsidRDefault="00A026EC" w:rsidP="00A026EC">
      <w:pPr>
        <w:pStyle w:val="Heading2"/>
      </w:pPr>
      <w:bookmarkStart w:id="64" w:name="_Toc465155264"/>
      <w:bookmarkStart w:id="65" w:name="_Toc465156594"/>
      <w:bookmarkStart w:id="66" w:name="_Toc465156736"/>
      <w:bookmarkStart w:id="67" w:name="_Toc468800845"/>
      <w:r>
        <w:t xml:space="preserve">2. </w:t>
      </w:r>
      <w:r w:rsidRPr="00B97637">
        <w:t>Background</w:t>
      </w:r>
      <w:bookmarkEnd w:id="64"/>
      <w:bookmarkEnd w:id="65"/>
      <w:bookmarkEnd w:id="66"/>
      <w:bookmarkEnd w:id="67"/>
    </w:p>
    <w:p w:rsidR="00A026EC" w:rsidRPr="006C750E" w:rsidRDefault="00A026EC" w:rsidP="00A026EC">
      <w:pPr>
        <w:pStyle w:val="BodyText"/>
      </w:pPr>
      <w:r w:rsidRPr="006C750E">
        <w:t xml:space="preserve">Consumer Affairs Victoria (CAV) currently funds a number of community </w:t>
      </w:r>
      <w:r>
        <w:t>organisations</w:t>
      </w:r>
      <w:r w:rsidRPr="006C750E">
        <w:t xml:space="preserve"> to provide </w:t>
      </w:r>
      <w:r>
        <w:t xml:space="preserve">tenancy </w:t>
      </w:r>
      <w:r w:rsidRPr="006C750E">
        <w:t>and consumer services for vulnerable and disadvantaged</w:t>
      </w:r>
      <w:r w:rsidR="00161467">
        <w:t xml:space="preserve"> private tenants and consumers.</w:t>
      </w:r>
    </w:p>
    <w:p w:rsidR="00A026EC" w:rsidRPr="006C750E" w:rsidRDefault="00A026EC" w:rsidP="00A026EC">
      <w:pPr>
        <w:pStyle w:val="BodyText"/>
      </w:pPr>
      <w:r w:rsidRPr="006C750E">
        <w:t xml:space="preserve">The current service delivery model </w:t>
      </w:r>
      <w:r>
        <w:t>was</w:t>
      </w:r>
      <w:r w:rsidRPr="006C750E">
        <w:t xml:space="preserve"> reviewed </w:t>
      </w:r>
      <w:r>
        <w:t xml:space="preserve">during 2015-16 </w:t>
      </w:r>
      <w:r w:rsidRPr="006C750E">
        <w:t>in consultation with providers and other stakeholders. The review recommended revisions to the service delivery model to ensure these services are delivered in an integrated, effic</w:t>
      </w:r>
      <w:r w:rsidR="00161467">
        <w:t>ient and cost effective manner.</w:t>
      </w:r>
    </w:p>
    <w:p w:rsidR="00A026EC" w:rsidRPr="006C750E" w:rsidRDefault="00A026EC" w:rsidP="00A026EC">
      <w:pPr>
        <w:pStyle w:val="BodyText"/>
      </w:pPr>
      <w:r w:rsidRPr="006C750E">
        <w:t xml:space="preserve">The outcome is the design and development of four programs to support vulnerable and disadvantaged Victorians most at risk of </w:t>
      </w:r>
      <w:r w:rsidR="00FF5057">
        <w:t>tenancy</w:t>
      </w:r>
      <w:r w:rsidR="00161467">
        <w:t xml:space="preserve"> and consumer issues.</w:t>
      </w:r>
    </w:p>
    <w:p w:rsidR="00A026EC" w:rsidRPr="006C750E" w:rsidRDefault="00A026EC" w:rsidP="00A026EC">
      <w:pPr>
        <w:pStyle w:val="BodyText"/>
      </w:pPr>
      <w:r w:rsidRPr="006C750E">
        <w:t>The four programs are</w:t>
      </w:r>
      <w:r>
        <w:t xml:space="preserve"> the</w:t>
      </w:r>
      <w:r w:rsidR="00161467">
        <w:t>:</w:t>
      </w:r>
    </w:p>
    <w:p w:rsidR="00A026EC" w:rsidRDefault="00A026EC" w:rsidP="0045121C">
      <w:pPr>
        <w:pStyle w:val="ListBullet"/>
      </w:pPr>
      <w:r w:rsidRPr="002B30F2">
        <w:t xml:space="preserve">Tenancy </w:t>
      </w:r>
      <w:r w:rsidR="00161467">
        <w:t>Assistance and Advocacy Program</w:t>
      </w:r>
    </w:p>
    <w:p w:rsidR="00A026EC" w:rsidRPr="002B30F2" w:rsidRDefault="00A026EC" w:rsidP="0045121C">
      <w:pPr>
        <w:pStyle w:val="ListBullet"/>
      </w:pPr>
      <w:r w:rsidRPr="002B30F2">
        <w:t xml:space="preserve">Tenancy </w:t>
      </w:r>
      <w:r w:rsidR="009D7E9D">
        <w:t>C</w:t>
      </w:r>
      <w:r w:rsidR="009602B7">
        <w:t>entral</w:t>
      </w:r>
      <w:r w:rsidRPr="002B30F2">
        <w:t xml:space="preserve"> Service</w:t>
      </w:r>
    </w:p>
    <w:p w:rsidR="00A026EC" w:rsidRPr="002B30F2" w:rsidRDefault="00A026EC" w:rsidP="0045121C">
      <w:pPr>
        <w:pStyle w:val="ListBullet"/>
      </w:pPr>
      <w:r w:rsidRPr="002B30F2">
        <w:t>Retirement Housing Assistance and Advocacy Program, and</w:t>
      </w:r>
    </w:p>
    <w:p w:rsidR="00A026EC" w:rsidRPr="002B30F2" w:rsidRDefault="00A026EC" w:rsidP="0045121C">
      <w:pPr>
        <w:pStyle w:val="ListBullet"/>
      </w:pPr>
      <w:r w:rsidRPr="002B30F2">
        <w:t>Consumer Assistance and Advocacy Program</w:t>
      </w:r>
      <w:r>
        <w:t xml:space="preserve"> </w:t>
      </w:r>
      <w:r w:rsidRPr="002B30F2">
        <w:t>(the subject of this RFS)</w:t>
      </w:r>
      <w:r>
        <w:t>.</w:t>
      </w:r>
    </w:p>
    <w:p w:rsidR="00A026EC" w:rsidRDefault="00A026EC" w:rsidP="00A026EC">
      <w:pPr>
        <w:pStyle w:val="BodyText"/>
      </w:pPr>
      <w:r>
        <w:t>CAV</w:t>
      </w:r>
      <w:r w:rsidRPr="006C750E">
        <w:t xml:space="preserve"> is responsible for the </w:t>
      </w:r>
      <w:r>
        <w:t>administration</w:t>
      </w:r>
      <w:r w:rsidRPr="006C750E">
        <w:t xml:space="preserve"> of the</w:t>
      </w:r>
      <w:r>
        <w:t>se four programs.</w:t>
      </w:r>
    </w:p>
    <w:p w:rsidR="00A026EC" w:rsidRPr="006C750E" w:rsidRDefault="00A026EC" w:rsidP="00A026EC">
      <w:pPr>
        <w:pStyle w:val="BodyText"/>
      </w:pPr>
      <w:r w:rsidRPr="006C750E">
        <w:t xml:space="preserve">This RFS is for the </w:t>
      </w:r>
      <w:r>
        <w:t>CAAP only.</w:t>
      </w:r>
    </w:p>
    <w:p w:rsidR="00A026EC" w:rsidRPr="006356ED" w:rsidRDefault="00A026EC" w:rsidP="00A026EC">
      <w:pPr>
        <w:pStyle w:val="Heading2"/>
      </w:pPr>
      <w:bookmarkStart w:id="68" w:name="_Toc466555128"/>
      <w:bookmarkStart w:id="69" w:name="_Toc468800846"/>
      <w:bookmarkStart w:id="70" w:name="_Toc464809945"/>
      <w:bookmarkStart w:id="71" w:name="_Toc465177431"/>
      <w:bookmarkStart w:id="72" w:name="_Toc465155266"/>
      <w:bookmarkStart w:id="73" w:name="_Toc465156596"/>
      <w:bookmarkStart w:id="74" w:name="_Toc465156738"/>
      <w:r>
        <w:t>3. Purpose</w:t>
      </w:r>
      <w:bookmarkEnd w:id="68"/>
      <w:bookmarkEnd w:id="69"/>
      <w:r>
        <w:t xml:space="preserve"> </w:t>
      </w:r>
      <w:bookmarkEnd w:id="70"/>
      <w:bookmarkEnd w:id="71"/>
    </w:p>
    <w:p w:rsidR="00A026EC" w:rsidRPr="0029003B" w:rsidRDefault="00A026EC" w:rsidP="00A026EC">
      <w:pPr>
        <w:pStyle w:val="BodyText"/>
      </w:pPr>
      <w:r w:rsidRPr="0029003B">
        <w:t xml:space="preserve">The purpose of this </w:t>
      </w:r>
      <w:r>
        <w:t>RFS</w:t>
      </w:r>
      <w:r w:rsidRPr="0029003B">
        <w:t xml:space="preserve"> is to advise of the requirements for the delivery of </w:t>
      </w:r>
      <w:r>
        <w:t>the CAAP</w:t>
      </w:r>
      <w:r w:rsidRPr="0029003B">
        <w:t xml:space="preserve"> </w:t>
      </w:r>
      <w:r>
        <w:t>for four years from 2017 to 2021,</w:t>
      </w:r>
      <w:r w:rsidRPr="0029003B">
        <w:t xml:space="preserve"> </w:t>
      </w:r>
      <w:r>
        <w:t>commencing</w:t>
      </w:r>
      <w:r w:rsidRPr="0029003B">
        <w:t xml:space="preserve"> July 2017.</w:t>
      </w:r>
    </w:p>
    <w:p w:rsidR="00A026EC" w:rsidRPr="0029003B" w:rsidRDefault="00A026EC" w:rsidP="00A026EC">
      <w:pPr>
        <w:pStyle w:val="BodyText"/>
      </w:pPr>
      <w:r w:rsidRPr="0029003B">
        <w:t xml:space="preserve">This </w:t>
      </w:r>
      <w:r>
        <w:t>RFS</w:t>
      </w:r>
      <w:r w:rsidRPr="0029003B">
        <w:t xml:space="preserve"> includes:</w:t>
      </w:r>
    </w:p>
    <w:p w:rsidR="00A026EC" w:rsidRPr="00574CDE" w:rsidRDefault="00A026EC" w:rsidP="0045121C">
      <w:pPr>
        <w:pStyle w:val="ListBullet"/>
      </w:pPr>
      <w:r w:rsidRPr="00574CDE">
        <w:t>deliverables and service activities</w:t>
      </w:r>
    </w:p>
    <w:p w:rsidR="00A026EC" w:rsidRPr="00574CDE" w:rsidRDefault="00A026EC" w:rsidP="0045121C">
      <w:pPr>
        <w:pStyle w:val="ListBullet"/>
      </w:pPr>
      <w:r w:rsidRPr="00574CDE">
        <w:t xml:space="preserve">Full Time Equivalent (FTE) </w:t>
      </w:r>
      <w:r w:rsidR="00A32547">
        <w:t xml:space="preserve">staff funding </w:t>
      </w:r>
      <w:r w:rsidRPr="00574CDE">
        <w:t>allocation for</w:t>
      </w:r>
      <w:r w:rsidR="00161467">
        <w:t xml:space="preserve"> components of the service, and</w:t>
      </w:r>
    </w:p>
    <w:p w:rsidR="00A026EC" w:rsidRPr="00574CDE" w:rsidRDefault="00A026EC" w:rsidP="0045121C">
      <w:pPr>
        <w:pStyle w:val="ListBullet"/>
      </w:pPr>
      <w:r w:rsidRPr="00574CDE">
        <w:t>reporting requirements.</w:t>
      </w:r>
    </w:p>
    <w:p w:rsidR="00A026EC" w:rsidRPr="006356ED" w:rsidRDefault="00A026EC" w:rsidP="00A026EC">
      <w:pPr>
        <w:pStyle w:val="Heading2"/>
      </w:pPr>
      <w:bookmarkStart w:id="75" w:name="_Toc465177432"/>
      <w:bookmarkStart w:id="76" w:name="_Toc466555129"/>
      <w:bookmarkStart w:id="77" w:name="_Toc468800847"/>
      <w:r>
        <w:t xml:space="preserve">4. </w:t>
      </w:r>
      <w:r w:rsidRPr="006356ED">
        <w:t xml:space="preserve">The </w:t>
      </w:r>
      <w:bookmarkEnd w:id="75"/>
      <w:bookmarkEnd w:id="76"/>
      <w:r>
        <w:t>Consumer Assistance and Advocacy Program</w:t>
      </w:r>
      <w:bookmarkEnd w:id="77"/>
    </w:p>
    <w:p w:rsidR="00A026EC" w:rsidRDefault="00A026EC" w:rsidP="00A026EC">
      <w:pPr>
        <w:pStyle w:val="BodyText"/>
      </w:pPr>
      <w:r w:rsidRPr="00D6208A">
        <w:t xml:space="preserve">An Australia </w:t>
      </w:r>
      <w:r>
        <w:t xml:space="preserve">wide </w:t>
      </w:r>
      <w:r w:rsidR="00FF5057">
        <w:t>‘</w:t>
      </w:r>
      <w:r>
        <w:t>legal needs</w:t>
      </w:r>
      <w:r w:rsidR="00FF5057">
        <w:t>’</w:t>
      </w:r>
      <w:r>
        <w:t xml:space="preserve"> survey</w:t>
      </w:r>
      <w:r w:rsidRPr="00D6208A">
        <w:t xml:space="preserve"> found that the most prevalent legal problem in the community is consumer </w:t>
      </w:r>
      <w:r w:rsidR="009602B7">
        <w:t xml:space="preserve">related </w:t>
      </w:r>
      <w:r w:rsidRPr="00D6208A">
        <w:t>problems, and that disadvantaged or socially excluded groups were particular</w:t>
      </w:r>
      <w:r w:rsidR="00E1751F">
        <w:t>ly vulnerable to such problems.</w:t>
      </w:r>
    </w:p>
    <w:p w:rsidR="00A026EC" w:rsidRDefault="00A026EC" w:rsidP="00A026EC">
      <w:pPr>
        <w:pStyle w:val="BodyText"/>
      </w:pPr>
      <w:r>
        <w:lastRenderedPageBreak/>
        <w:t>The CAAP</w:t>
      </w:r>
      <w:r w:rsidRPr="0029003B">
        <w:t xml:space="preserve"> is a state</w:t>
      </w:r>
      <w:r>
        <w:t>-</w:t>
      </w:r>
      <w:r w:rsidRPr="0029003B">
        <w:t xml:space="preserve">wide service </w:t>
      </w:r>
      <w:r>
        <w:t>that supports vulnerable and disadvantaged Victorian consumers through providing specialist</w:t>
      </w:r>
      <w:r w:rsidRPr="0029003B">
        <w:t xml:space="preserve"> </w:t>
      </w:r>
      <w:r>
        <w:t>consumer</w:t>
      </w:r>
      <w:r w:rsidRPr="0029003B">
        <w:t xml:space="preserve"> </w:t>
      </w:r>
      <w:r>
        <w:t>advice to workers, advocacy, training and casework. CAAP consists of the following 5 components that are discussed in detail below.</w:t>
      </w:r>
    </w:p>
    <w:p w:rsidR="00A026EC" w:rsidRPr="00844180" w:rsidRDefault="00A026EC" w:rsidP="00844180">
      <w:pPr>
        <w:pStyle w:val="ListNumber"/>
      </w:pPr>
      <w:r w:rsidRPr="00844180">
        <w:t>The Consumer</w:t>
      </w:r>
      <w:r w:rsidR="00E1751F" w:rsidRPr="00844180">
        <w:t xml:space="preserve"> Advice Service</w:t>
      </w:r>
    </w:p>
    <w:p w:rsidR="00A026EC" w:rsidRPr="00844180" w:rsidRDefault="00A026EC" w:rsidP="00844180">
      <w:pPr>
        <w:pStyle w:val="ListNumber"/>
      </w:pPr>
      <w:r w:rsidRPr="00844180">
        <w:t>C</w:t>
      </w:r>
      <w:r w:rsidR="00B03AB2" w:rsidRPr="00844180">
        <w:t>AAP</w:t>
      </w:r>
      <w:r w:rsidRPr="00844180">
        <w:t xml:space="preserve"> </w:t>
      </w:r>
      <w:r w:rsidR="009D7E9D" w:rsidRPr="00844180">
        <w:t>Casework</w:t>
      </w:r>
    </w:p>
    <w:p w:rsidR="00A026EC" w:rsidRPr="00844180" w:rsidRDefault="00A026EC" w:rsidP="00844180">
      <w:pPr>
        <w:pStyle w:val="ListNumber"/>
      </w:pPr>
      <w:r w:rsidRPr="00844180">
        <w:t>Professional development for consumer workers</w:t>
      </w:r>
    </w:p>
    <w:p w:rsidR="00A026EC" w:rsidRPr="00844180" w:rsidRDefault="00A026EC" w:rsidP="00844180">
      <w:pPr>
        <w:pStyle w:val="ListNumber"/>
      </w:pPr>
      <w:r w:rsidRPr="00844180">
        <w:t>Consumer campaigns and media, and</w:t>
      </w:r>
    </w:p>
    <w:p w:rsidR="00A026EC" w:rsidRPr="00844180" w:rsidRDefault="00A026EC" w:rsidP="00844180">
      <w:pPr>
        <w:pStyle w:val="ListNumber"/>
      </w:pPr>
      <w:r w:rsidRPr="00844180">
        <w:t>Consumer policy and advocacy.</w:t>
      </w:r>
      <w:bookmarkStart w:id="78" w:name="_Toc464809949"/>
      <w:bookmarkStart w:id="79" w:name="_Toc465177433"/>
      <w:bookmarkStart w:id="80" w:name="_Toc466555130"/>
    </w:p>
    <w:p w:rsidR="00EA1769" w:rsidRDefault="00EA1769" w:rsidP="0045121C">
      <w:pPr>
        <w:pStyle w:val="BodyText"/>
      </w:pPr>
      <w:r>
        <w:t xml:space="preserve">The scope of CAAP is </w:t>
      </w:r>
      <w:r w:rsidR="007049BB">
        <w:t xml:space="preserve">to provide assistance for matters under the Australian Consumer Law (ACL) as it applies to conduct in trade or commerce. It </w:t>
      </w:r>
      <w:r w:rsidR="00E51439">
        <w:t>will deal with consumer-related law and practice</w:t>
      </w:r>
      <w:r w:rsidR="0074511C">
        <w:t>, including protections around unfair contract terms, unconscio</w:t>
      </w:r>
      <w:r w:rsidR="00C95318">
        <w:t>nable conduct, misleading or deceptive conduct, false or misleading representations, consumer guarantees, and unsolicited consumer agreements.</w:t>
      </w:r>
      <w:r w:rsidR="00B11ED5">
        <w:t xml:space="preserve"> </w:t>
      </w:r>
      <w:r w:rsidR="00C131E6">
        <w:t>Matters could be related to general fair trading issues, the purchase and repair of second-hand cars, utilities, door-to-door sales, training courses and retirement village management contracts.</w:t>
      </w:r>
    </w:p>
    <w:p w:rsidR="00A026EC" w:rsidRPr="00272708" w:rsidRDefault="00A026EC" w:rsidP="00A026EC">
      <w:pPr>
        <w:pStyle w:val="Heading3"/>
      </w:pPr>
      <w:bookmarkStart w:id="81" w:name="_Toc468800848"/>
      <w:r>
        <w:t xml:space="preserve">4.1 </w:t>
      </w:r>
      <w:r w:rsidR="00C62726">
        <w:t xml:space="preserve">The </w:t>
      </w:r>
      <w:r>
        <w:t>Consumer</w:t>
      </w:r>
      <w:r w:rsidRPr="00272708">
        <w:t xml:space="preserve"> Advice Service</w:t>
      </w:r>
      <w:bookmarkEnd w:id="78"/>
      <w:bookmarkEnd w:id="79"/>
      <w:bookmarkEnd w:id="80"/>
      <w:bookmarkEnd w:id="81"/>
    </w:p>
    <w:p w:rsidR="00A026EC" w:rsidRDefault="00A026EC" w:rsidP="00A026EC">
      <w:pPr>
        <w:pStyle w:val="BodyText"/>
      </w:pPr>
      <w:r>
        <w:t>T</w:t>
      </w:r>
      <w:r w:rsidRPr="0029003B">
        <w:t xml:space="preserve">he </w:t>
      </w:r>
      <w:r>
        <w:t>Consumer Advice Ser</w:t>
      </w:r>
      <w:bookmarkStart w:id="82" w:name="_Toc465177434"/>
      <w:r>
        <w:t>vice will operate state-wide by providing:</w:t>
      </w:r>
    </w:p>
    <w:p w:rsidR="00A026EC" w:rsidRPr="008D6B79" w:rsidRDefault="00A026EC" w:rsidP="0045121C">
      <w:pPr>
        <w:pStyle w:val="ListBullet"/>
      </w:pPr>
      <w:r>
        <w:t>s</w:t>
      </w:r>
      <w:r w:rsidRPr="008D6B79">
        <w:t>econdary consultations</w:t>
      </w:r>
      <w:r>
        <w:t>, and</w:t>
      </w:r>
    </w:p>
    <w:p w:rsidR="00A026EC" w:rsidRPr="0012463D" w:rsidRDefault="00670D90" w:rsidP="0045121C">
      <w:pPr>
        <w:pStyle w:val="ListBullet"/>
      </w:pPr>
      <w:r>
        <w:t>the C</w:t>
      </w:r>
      <w:r w:rsidR="00A026EC">
        <w:t xml:space="preserve">ommunity </w:t>
      </w:r>
      <w:r>
        <w:t>W</w:t>
      </w:r>
      <w:r w:rsidR="00A026EC">
        <w:t>orker</w:t>
      </w:r>
      <w:r w:rsidR="00A026EC" w:rsidRPr="008D6B79">
        <w:t xml:space="preserve"> </w:t>
      </w:r>
      <w:r>
        <w:t>O</w:t>
      </w:r>
      <w:r w:rsidR="00A026EC" w:rsidRPr="008D6B79">
        <w:t>utreach</w:t>
      </w:r>
      <w:r w:rsidR="00A026EC">
        <w:t xml:space="preserve"> program</w:t>
      </w:r>
      <w:r w:rsidR="00CE463D">
        <w:t>.</w:t>
      </w:r>
    </w:p>
    <w:p w:rsidR="00A026EC" w:rsidRPr="00CD0C87" w:rsidRDefault="00A026EC" w:rsidP="00A026EC">
      <w:pPr>
        <w:pStyle w:val="Heading4"/>
      </w:pPr>
      <w:bookmarkStart w:id="83" w:name="_Toc466555131"/>
      <w:r>
        <w:t xml:space="preserve">4.1.1 </w:t>
      </w:r>
      <w:r w:rsidRPr="00CD0C87">
        <w:t>Secondary consultations</w:t>
      </w:r>
      <w:bookmarkEnd w:id="82"/>
      <w:bookmarkEnd w:id="83"/>
    </w:p>
    <w:p w:rsidR="00A026EC" w:rsidRDefault="00A026EC" w:rsidP="00A026EC">
      <w:pPr>
        <w:pStyle w:val="BodyText"/>
      </w:pPr>
      <w:r>
        <w:t>C</w:t>
      </w:r>
      <w:r w:rsidRPr="0029003B">
        <w:t xml:space="preserve">ommunity workers who </w:t>
      </w:r>
      <w:r>
        <w:t>do not work primarily in consumer areas may require specialist assistance</w:t>
      </w:r>
      <w:r w:rsidRPr="0029003B">
        <w:t xml:space="preserve"> to interpret the </w:t>
      </w:r>
      <w:r w:rsidRPr="002412C9">
        <w:t>ACL</w:t>
      </w:r>
      <w:r>
        <w:t xml:space="preserve"> </w:t>
      </w:r>
      <w:r w:rsidR="004067A9">
        <w:t xml:space="preserve">and </w:t>
      </w:r>
      <w:r w:rsidR="002E6D76">
        <w:t>other consumer protection legislation so as to</w:t>
      </w:r>
      <w:r w:rsidRPr="0029003B">
        <w:t xml:space="preserve"> provide appropriate advice</w:t>
      </w:r>
      <w:r>
        <w:t xml:space="preserve"> to vulnerable consumers</w:t>
      </w:r>
      <w:r w:rsidRPr="0029003B">
        <w:t>.</w:t>
      </w:r>
      <w:r>
        <w:t xml:space="preserve"> More experienced consumer workers (including </w:t>
      </w:r>
      <w:r w:rsidR="009602B7">
        <w:t>community legal service lawyers</w:t>
      </w:r>
      <w:r>
        <w:t xml:space="preserve"> and pro-bono lawyers) may similarly require additional assistance from time to time to support clients with more complex consumer problems.</w:t>
      </w:r>
    </w:p>
    <w:p w:rsidR="00A026EC" w:rsidRPr="0029003B" w:rsidRDefault="00A026EC" w:rsidP="00A026EC">
      <w:pPr>
        <w:pStyle w:val="BodyText"/>
      </w:pPr>
      <w:r>
        <w:t>The CAAP will provide a secondary consultation service via a discrete workers telephone line and email address. The telephone line must</w:t>
      </w:r>
      <w:r w:rsidRPr="0029003B">
        <w:t xml:space="preserve"> operate </w:t>
      </w:r>
      <w:r>
        <w:t>for a minimum of five hours</w:t>
      </w:r>
      <w:r w:rsidRPr="003969BB">
        <w:t xml:space="preserve"> </w:t>
      </w:r>
      <w:r>
        <w:t>on business days (although it may be closed between</w:t>
      </w:r>
      <w:r w:rsidRPr="0029003B">
        <w:t xml:space="preserve"> Christmas and New Year</w:t>
      </w:r>
      <w:r>
        <w:t>)</w:t>
      </w:r>
      <w:r w:rsidRPr="0029003B">
        <w:t>.</w:t>
      </w:r>
    </w:p>
    <w:p w:rsidR="00A026EC" w:rsidRDefault="00A026EC" w:rsidP="00A026EC">
      <w:pPr>
        <w:pStyle w:val="BodyText"/>
      </w:pPr>
      <w:r w:rsidRPr="0029003B">
        <w:t xml:space="preserve">The </w:t>
      </w:r>
      <w:r>
        <w:t>secondary consultation service</w:t>
      </w:r>
      <w:r w:rsidRPr="0029003B">
        <w:t xml:space="preserve"> </w:t>
      </w:r>
      <w:r>
        <w:t>must be</w:t>
      </w:r>
      <w:r w:rsidRPr="0029003B">
        <w:t xml:space="preserve"> </w:t>
      </w:r>
      <w:r>
        <w:t>staffed</w:t>
      </w:r>
      <w:r w:rsidRPr="0029003B">
        <w:t xml:space="preserve"> by lawyers with extensive knowledge and expertise in </w:t>
      </w:r>
      <w:r>
        <w:t>consumer</w:t>
      </w:r>
      <w:r w:rsidRPr="0029003B">
        <w:t xml:space="preserve"> law and </w:t>
      </w:r>
      <w:r>
        <w:t>practice</w:t>
      </w:r>
      <w:r w:rsidRPr="0029003B">
        <w:t>.</w:t>
      </w:r>
    </w:p>
    <w:p w:rsidR="00EA5D65" w:rsidRDefault="00A026EC" w:rsidP="00A026EC">
      <w:pPr>
        <w:pStyle w:val="BodyText"/>
      </w:pPr>
      <w:r>
        <w:t xml:space="preserve">In the course of providing a secondary consultation, the </w:t>
      </w:r>
      <w:r w:rsidR="00EA5D65">
        <w:t>worker</w:t>
      </w:r>
      <w:r>
        <w:t xml:space="preserve"> may determine that the consumer requires casework assistance. Consumers will be assessed against eligibility criteria primarily based on the level of detriment of the matter</w:t>
      </w:r>
      <w:r w:rsidR="001F774C">
        <w:t>,</w:t>
      </w:r>
      <w:r>
        <w:t xml:space="preserve"> financial disadvantage, and </w:t>
      </w:r>
      <w:r w:rsidR="009602B7">
        <w:t>whether</w:t>
      </w:r>
      <w:r>
        <w:t xml:space="preserve"> the case represents an emerging, or </w:t>
      </w:r>
      <w:r w:rsidR="001F774C">
        <w:t xml:space="preserve">systemic CAAP </w:t>
      </w:r>
      <w:r w:rsidR="0006154A">
        <w:t>priority</w:t>
      </w:r>
      <w:r w:rsidR="001F774C">
        <w:t xml:space="preserve"> issue. </w:t>
      </w:r>
      <w:r w:rsidR="00EA5D65">
        <w:t>If casework is required</w:t>
      </w:r>
      <w:r w:rsidR="009602B7">
        <w:t>,</w:t>
      </w:r>
      <w:r w:rsidR="00EA5D65">
        <w:t xml:space="preserve"> the client will be referred to CAAP </w:t>
      </w:r>
      <w:r w:rsidR="009D7E9D">
        <w:t>Casework</w:t>
      </w:r>
      <w:r w:rsidR="00EA5D65">
        <w:t>.</w:t>
      </w:r>
    </w:p>
    <w:p w:rsidR="00A026EC" w:rsidRDefault="00A026EC" w:rsidP="00A026EC">
      <w:pPr>
        <w:pStyle w:val="BodyText"/>
      </w:pPr>
      <w:r>
        <w:t xml:space="preserve">The </w:t>
      </w:r>
      <w:r w:rsidR="00EA5D65">
        <w:t xml:space="preserve">agency providing the </w:t>
      </w:r>
      <w:r>
        <w:t>CAAP must meet annual target numbers for secondary consultations (simple and complex) agreed with CAV.</w:t>
      </w:r>
    </w:p>
    <w:p w:rsidR="00A026EC" w:rsidRDefault="00A026EC" w:rsidP="00A026EC">
      <w:pPr>
        <w:pStyle w:val="BodyText"/>
      </w:pPr>
      <w:r>
        <w:lastRenderedPageBreak/>
        <w:t xml:space="preserve">The CAAP provider must include in </w:t>
      </w:r>
      <w:r w:rsidR="0006154A">
        <w:t>a</w:t>
      </w:r>
      <w:r>
        <w:t xml:space="preserve"> 6-monthly narrative report to CAV, information on secondary consultations</w:t>
      </w:r>
      <w:r w:rsidR="009602B7">
        <w:t>,</w:t>
      </w:r>
      <w:r>
        <w:t xml:space="preserve"> including the </w:t>
      </w:r>
      <w:r w:rsidRPr="007B37BF">
        <w:t>number and detail of</w:t>
      </w:r>
      <w:r>
        <w:t xml:space="preserve"> referrals for casework made as an outcome of the secondary consultation</w:t>
      </w:r>
      <w:r w:rsidR="0006154A">
        <w:t>s</w:t>
      </w:r>
      <w:r>
        <w:t>.</w:t>
      </w:r>
    </w:p>
    <w:p w:rsidR="00A026EC" w:rsidRPr="00CD0C87" w:rsidRDefault="00A026EC" w:rsidP="00A026EC">
      <w:pPr>
        <w:pStyle w:val="Heading4"/>
      </w:pPr>
      <w:bookmarkStart w:id="84" w:name="_Toc466555133"/>
      <w:r>
        <w:t>4.1.</w:t>
      </w:r>
      <w:r w:rsidR="009602B7">
        <w:t>2</w:t>
      </w:r>
      <w:r>
        <w:t xml:space="preserve"> C</w:t>
      </w:r>
      <w:r w:rsidRPr="00CD0C87">
        <w:t xml:space="preserve">ommunity </w:t>
      </w:r>
      <w:r>
        <w:t>Worker Outreach</w:t>
      </w:r>
      <w:bookmarkEnd w:id="84"/>
    </w:p>
    <w:p w:rsidR="00A026EC" w:rsidRDefault="00975676" w:rsidP="00A026EC">
      <w:pPr>
        <w:pStyle w:val="BodyText"/>
      </w:pPr>
      <w:r w:rsidRPr="00975676">
        <w:t xml:space="preserve">In its </w:t>
      </w:r>
      <w:r w:rsidRPr="00975676">
        <w:rPr>
          <w:i/>
        </w:rPr>
        <w:t>Access to Justice Arrangements Inquiry Report</w:t>
      </w:r>
      <w:r w:rsidRPr="00975676">
        <w:t xml:space="preserve"> (December 2014), the Australian Government Productivity Commission </w:t>
      </w:r>
      <w:r w:rsidR="00A026EC" w:rsidRPr="006F2E04">
        <w:t xml:space="preserve">found that resolving the legal and non-legal problems experienced by disadvantaged Australians requires greater collaboration between legal and non-legal organisations. It also found that </w:t>
      </w:r>
      <w:r w:rsidR="00A026EC">
        <w:t xml:space="preserve">providing </w:t>
      </w:r>
      <w:r w:rsidR="00A026EC" w:rsidRPr="006F2E04">
        <w:t xml:space="preserve">greater training and support </w:t>
      </w:r>
      <w:r w:rsidR="00A026EC">
        <w:t>for</w:t>
      </w:r>
      <w:r w:rsidR="00A026EC" w:rsidRPr="006F2E04">
        <w:t xml:space="preserve"> non-legal workers who regularly deal with disadvantaged people can </w:t>
      </w:r>
      <w:r w:rsidR="00A026EC">
        <w:t>be an effective means to improving</w:t>
      </w:r>
      <w:r w:rsidR="00A026EC" w:rsidRPr="006F2E04">
        <w:t xml:space="preserve"> access to justice</w:t>
      </w:r>
      <w:r w:rsidR="00A026EC">
        <w:t>.</w:t>
      </w:r>
    </w:p>
    <w:p w:rsidR="00A026EC" w:rsidRPr="0029003B" w:rsidRDefault="00A026EC" w:rsidP="00A026EC">
      <w:pPr>
        <w:pStyle w:val="BodyText"/>
      </w:pPr>
      <w:r>
        <w:t xml:space="preserve">The Community Worker Outreach program of the CAAP will focus on building the capacity of general community workers to help vulnerable and disadvantaged consumers more effectively by educating those workers about consumer law and practice. The program will also instruct them how to access worker advice and assistance (e.g. through the secondary consultation telephone line) and how to refer clients to CAAP </w:t>
      </w:r>
      <w:r w:rsidR="009D7E9D">
        <w:t>Casework</w:t>
      </w:r>
      <w:r>
        <w:t>.</w:t>
      </w:r>
    </w:p>
    <w:p w:rsidR="00A026EC" w:rsidRPr="0029003B" w:rsidRDefault="00A026EC" w:rsidP="00A026EC">
      <w:pPr>
        <w:pStyle w:val="BodyText"/>
      </w:pPr>
      <w:r>
        <w:t>The CAAP</w:t>
      </w:r>
      <w:r w:rsidRPr="0029003B">
        <w:t xml:space="preserve"> </w:t>
      </w:r>
      <w:r>
        <w:t>must</w:t>
      </w:r>
      <w:r w:rsidRPr="0029003B">
        <w:t xml:space="preserve"> deliver an annual </w:t>
      </w:r>
      <w:r>
        <w:t xml:space="preserve">Community Worker Outreach </w:t>
      </w:r>
      <w:r w:rsidRPr="0029003B">
        <w:t xml:space="preserve">program that has </w:t>
      </w:r>
      <w:r>
        <w:t>state-wide</w:t>
      </w:r>
      <w:r w:rsidRPr="0029003B">
        <w:t xml:space="preserve"> reach, and </w:t>
      </w:r>
      <w:r>
        <w:t xml:space="preserve">which </w:t>
      </w:r>
      <w:r w:rsidRPr="0029003B">
        <w:t xml:space="preserve">targets community workers </w:t>
      </w:r>
      <w:r>
        <w:t>providing services to</w:t>
      </w:r>
      <w:r w:rsidRPr="0029003B">
        <w:t xml:space="preserve"> vulnerable </w:t>
      </w:r>
      <w:r>
        <w:t>and disadvantaged Victorians</w:t>
      </w:r>
      <w:r w:rsidRPr="0029003B">
        <w:t>.</w:t>
      </w:r>
    </w:p>
    <w:p w:rsidR="00A026EC" w:rsidRDefault="00A026EC" w:rsidP="00A026EC">
      <w:pPr>
        <w:pStyle w:val="BodyText"/>
      </w:pPr>
      <w:r w:rsidRPr="0029003B">
        <w:t xml:space="preserve">The </w:t>
      </w:r>
      <w:r>
        <w:t>CAAP must develop appropriate content, and design a suitable delivery method for the program. Delivery methods may</w:t>
      </w:r>
      <w:r w:rsidRPr="0029003B">
        <w:t xml:space="preserve"> include attending local regional network meetings, or delivering </w:t>
      </w:r>
      <w:r>
        <w:t>consumer forums</w:t>
      </w:r>
      <w:r w:rsidRPr="0029003B">
        <w:t xml:space="preserve"> for community workers.</w:t>
      </w:r>
    </w:p>
    <w:p w:rsidR="00670D90" w:rsidRDefault="00670D90" w:rsidP="00A026EC">
      <w:pPr>
        <w:pStyle w:val="BodyText"/>
      </w:pPr>
      <w:r>
        <w:t>The CAAP provider must include, in the six-monthly narrative report to CAV, information on the Community Worker Outreach program.</w:t>
      </w:r>
    </w:p>
    <w:p w:rsidR="00A026EC" w:rsidRPr="00272708" w:rsidRDefault="00A026EC" w:rsidP="00A026EC">
      <w:pPr>
        <w:pStyle w:val="Heading3"/>
      </w:pPr>
      <w:bookmarkStart w:id="85" w:name="_Toc468800849"/>
      <w:bookmarkStart w:id="86" w:name="_Toc465155267"/>
      <w:bookmarkStart w:id="87" w:name="_Toc465156597"/>
      <w:bookmarkStart w:id="88" w:name="_Toc465156739"/>
      <w:r>
        <w:t>4.2 CAAP C</w:t>
      </w:r>
      <w:r w:rsidR="00F04816">
        <w:t>asework</w:t>
      </w:r>
      <w:bookmarkEnd w:id="85"/>
    </w:p>
    <w:p w:rsidR="00A026EC" w:rsidRDefault="00A026EC" w:rsidP="00A026EC">
      <w:pPr>
        <w:pStyle w:val="BodyText"/>
      </w:pPr>
      <w:r>
        <w:t xml:space="preserve">CAAP </w:t>
      </w:r>
      <w:r w:rsidR="009D7E9D">
        <w:t>Casework</w:t>
      </w:r>
      <w:r>
        <w:t xml:space="preserve"> will provide casework for consumers who are financial</w:t>
      </w:r>
      <w:r w:rsidR="00FF5057">
        <w:t>ly</w:t>
      </w:r>
      <w:r>
        <w:t xml:space="preserve"> disadvantaged and have a consumer matter with a level of detr</w:t>
      </w:r>
      <w:r w:rsidR="00FF5057">
        <w:t>iment that warrants assistance.</w:t>
      </w:r>
    </w:p>
    <w:p w:rsidR="00A026EC" w:rsidRDefault="00EA5D65" w:rsidP="00A026EC">
      <w:pPr>
        <w:pStyle w:val="BodyText"/>
      </w:pPr>
      <w:r>
        <w:t>CAAP C</w:t>
      </w:r>
      <w:r w:rsidR="00F04816">
        <w:t>asework</w:t>
      </w:r>
      <w:r w:rsidR="00A026EC">
        <w:t xml:space="preserve"> will </w:t>
      </w:r>
      <w:r w:rsidR="001E746B">
        <w:t xml:space="preserve">be required to </w:t>
      </w:r>
      <w:r w:rsidR="00A026EC">
        <w:t>have the capacity to:</w:t>
      </w:r>
    </w:p>
    <w:p w:rsidR="00A026EC" w:rsidRDefault="001F774C" w:rsidP="0045121C">
      <w:pPr>
        <w:pStyle w:val="ListBullet"/>
      </w:pPr>
      <w:r>
        <w:t xml:space="preserve">prioritise </w:t>
      </w:r>
      <w:r w:rsidR="001E746B">
        <w:t>casework in response to</w:t>
      </w:r>
      <w:r w:rsidR="00F04816">
        <w:t xml:space="preserve"> the priority</w:t>
      </w:r>
      <w:r>
        <w:t xml:space="preserve"> consumer issues </w:t>
      </w:r>
      <w:r w:rsidR="00F04816">
        <w:t>identified by CAAP</w:t>
      </w:r>
    </w:p>
    <w:p w:rsidR="00A026EC" w:rsidRDefault="00A026EC" w:rsidP="0045121C">
      <w:pPr>
        <w:pStyle w:val="ListBullet"/>
      </w:pPr>
      <w:r>
        <w:t xml:space="preserve">provide </w:t>
      </w:r>
      <w:r w:rsidR="00AD16C3">
        <w:t xml:space="preserve">some </w:t>
      </w:r>
      <w:r>
        <w:t xml:space="preserve">face to face casework </w:t>
      </w:r>
      <w:r w:rsidR="00AD16C3">
        <w:t xml:space="preserve">in locations </w:t>
      </w:r>
      <w:r>
        <w:t>across Victoria</w:t>
      </w:r>
    </w:p>
    <w:p w:rsidR="009602B7" w:rsidRPr="0045121C" w:rsidRDefault="0042101F" w:rsidP="0045121C">
      <w:pPr>
        <w:pStyle w:val="ListBullet"/>
      </w:pPr>
      <w:r w:rsidRPr="006C750E">
        <w:t>provide clients with the least intensive, and therefore least expensive, se</w:t>
      </w:r>
      <w:r>
        <w:t>rvice</w:t>
      </w:r>
      <w:r w:rsidR="009602B7">
        <w:t xml:space="preserve"> that meets the </w:t>
      </w:r>
      <w:r w:rsidR="009602B7" w:rsidRPr="0045121C">
        <w:t>client’s needs</w:t>
      </w:r>
    </w:p>
    <w:p w:rsidR="00A026EC" w:rsidRPr="0045121C" w:rsidRDefault="00A026EC" w:rsidP="0045121C">
      <w:pPr>
        <w:pStyle w:val="ListBullet"/>
      </w:pPr>
      <w:r w:rsidRPr="0045121C">
        <w:t>focus on marginal groups including Culturally and Linguistically Diverse, Aboriginal and Torres Strait Islanders</w:t>
      </w:r>
      <w:r w:rsidR="00A32547" w:rsidRPr="0045121C">
        <w:t>,</w:t>
      </w:r>
      <w:r w:rsidR="009602B7" w:rsidRPr="0045121C">
        <w:t xml:space="preserve"> and the elderly, and</w:t>
      </w:r>
    </w:p>
    <w:p w:rsidR="00A026EC" w:rsidRDefault="00A026EC" w:rsidP="0045121C">
      <w:pPr>
        <w:pStyle w:val="ListBullet"/>
      </w:pPr>
      <w:r>
        <w:t xml:space="preserve">work collaboratively with community legal centres, particularly those providing consumer law </w:t>
      </w:r>
      <w:r w:rsidR="001F774C">
        <w:t xml:space="preserve">support to </w:t>
      </w:r>
      <w:r w:rsidR="007221BA">
        <w:t>financially</w:t>
      </w:r>
      <w:r w:rsidR="0042101F">
        <w:t xml:space="preserve"> disadvantaged consumers.</w:t>
      </w:r>
    </w:p>
    <w:p w:rsidR="001E746B" w:rsidRDefault="00EA5D65" w:rsidP="00010E8B">
      <w:pPr>
        <w:pStyle w:val="BodyText"/>
      </w:pPr>
      <w:r>
        <w:t xml:space="preserve">The CAAP provider will </w:t>
      </w:r>
      <w:r w:rsidR="001E746B">
        <w:t xml:space="preserve">design </w:t>
      </w:r>
      <w:r w:rsidR="00010E8B">
        <w:t xml:space="preserve">and implement the </w:t>
      </w:r>
      <w:r w:rsidR="00F04816">
        <w:t>CAAP Casework</w:t>
      </w:r>
      <w:r w:rsidR="00010E8B">
        <w:t xml:space="preserve"> component</w:t>
      </w:r>
      <w:r w:rsidR="001E746B">
        <w:t xml:space="preserve"> taking into consideration the following:</w:t>
      </w:r>
    </w:p>
    <w:p w:rsidR="001E746B" w:rsidRPr="0045121C" w:rsidRDefault="001E746B" w:rsidP="0045121C">
      <w:pPr>
        <w:pStyle w:val="ListBullet"/>
      </w:pPr>
      <w:r w:rsidRPr="0045121C">
        <w:t xml:space="preserve">the option of </w:t>
      </w:r>
      <w:r w:rsidR="00010E8B" w:rsidRPr="0045121C">
        <w:t>partnership arrangements</w:t>
      </w:r>
      <w:r w:rsidRPr="0045121C">
        <w:t xml:space="preserve"> to provide the service</w:t>
      </w:r>
    </w:p>
    <w:p w:rsidR="001E746B" w:rsidRPr="0045121C" w:rsidRDefault="001E746B" w:rsidP="0045121C">
      <w:pPr>
        <w:pStyle w:val="ListBullet"/>
      </w:pPr>
      <w:r w:rsidRPr="0045121C">
        <w:lastRenderedPageBreak/>
        <w:t>recruitment of suitably qualified caseworkers</w:t>
      </w:r>
    </w:p>
    <w:p w:rsidR="001E746B" w:rsidRPr="0045121C" w:rsidRDefault="00F04816" w:rsidP="0045121C">
      <w:pPr>
        <w:pStyle w:val="ListBullet"/>
      </w:pPr>
      <w:r w:rsidRPr="0045121C">
        <w:t xml:space="preserve">procedures to </w:t>
      </w:r>
      <w:r w:rsidR="001E746B" w:rsidRPr="0045121C">
        <w:t>provide</w:t>
      </w:r>
      <w:r w:rsidRPr="0045121C">
        <w:t xml:space="preserve"> state-wide </w:t>
      </w:r>
      <w:r w:rsidR="001E746B" w:rsidRPr="0045121C">
        <w:t>casework in response to the CAAP ident</w:t>
      </w:r>
      <w:r w:rsidR="0045121C">
        <w:t>ified priority issue cases, and</w:t>
      </w:r>
    </w:p>
    <w:p w:rsidR="00F04816" w:rsidRPr="0045121C" w:rsidRDefault="001E746B" w:rsidP="0045121C">
      <w:pPr>
        <w:pStyle w:val="ListBullet"/>
      </w:pPr>
      <w:r w:rsidRPr="0045121C">
        <w:t xml:space="preserve">the viability of </w:t>
      </w:r>
      <w:r w:rsidR="00010E8B" w:rsidRPr="0045121C">
        <w:t>outpos</w:t>
      </w:r>
      <w:r w:rsidRPr="0045121C">
        <w:t>t locations.</w:t>
      </w:r>
    </w:p>
    <w:p w:rsidR="00010E8B" w:rsidRDefault="00010E8B" w:rsidP="0049046A">
      <w:pPr>
        <w:pStyle w:val="ListBullet2"/>
        <w:numPr>
          <w:ilvl w:val="0"/>
          <w:numId w:val="0"/>
        </w:numPr>
      </w:pPr>
      <w:r>
        <w:t>The C</w:t>
      </w:r>
      <w:r w:rsidRPr="00081FAA">
        <w:t xml:space="preserve">AAP </w:t>
      </w:r>
      <w:r>
        <w:t xml:space="preserve">Casework provider will be required to adopt the </w:t>
      </w:r>
      <w:hyperlink r:id="rId9" w:history="1">
        <w:r w:rsidR="0049046A" w:rsidRPr="007868CE">
          <w:rPr>
            <w:rStyle w:val="Hyperlink"/>
          </w:rPr>
          <w:t>CAAP Casework Service Delivery Model (Word, 172KB)</w:t>
        </w:r>
      </w:hyperlink>
      <w:r w:rsidR="0049046A">
        <w:t xml:space="preserve"> (</w:t>
      </w:r>
      <w:r w:rsidR="0049046A" w:rsidRPr="0049046A">
        <w:t>https://www.consumer.vic.gov.au/library/forms/clubs-and-not-for-profits/grants/caap-casework-service-delivery-model-2017-21.doc</w:t>
      </w:r>
      <w:r w:rsidR="0049046A">
        <w:t xml:space="preserve">) </w:t>
      </w:r>
      <w:r>
        <w:t>for the assessment, provision and recording of casework.</w:t>
      </w:r>
    </w:p>
    <w:bookmarkEnd w:id="86"/>
    <w:bookmarkEnd w:id="87"/>
    <w:bookmarkEnd w:id="88"/>
    <w:p w:rsidR="00A026EC" w:rsidRPr="00CD0C87" w:rsidRDefault="00A026EC" w:rsidP="00A026EC">
      <w:pPr>
        <w:pStyle w:val="Heading4"/>
      </w:pPr>
      <w:r>
        <w:t xml:space="preserve">4.2.1 </w:t>
      </w:r>
      <w:r w:rsidR="0042101F">
        <w:t xml:space="preserve">The role of </w:t>
      </w:r>
      <w:r>
        <w:t xml:space="preserve">CAAP </w:t>
      </w:r>
      <w:r w:rsidR="009D7E9D">
        <w:t>Casework</w:t>
      </w:r>
      <w:r>
        <w:t xml:space="preserve"> </w:t>
      </w:r>
      <w:r w:rsidR="0042101F">
        <w:t>workers</w:t>
      </w:r>
    </w:p>
    <w:p w:rsidR="00A026EC" w:rsidRDefault="00AD16C3" w:rsidP="00A026EC">
      <w:pPr>
        <w:pStyle w:val="BodyText"/>
      </w:pPr>
      <w:r>
        <w:t xml:space="preserve">The CAAP </w:t>
      </w:r>
      <w:r w:rsidR="009D7E9D">
        <w:t>Casework</w:t>
      </w:r>
      <w:r>
        <w:t xml:space="preserve"> worker is a </w:t>
      </w:r>
      <w:r w:rsidR="001C78EE" w:rsidRPr="006C750E">
        <w:t xml:space="preserve">para-legal </w:t>
      </w:r>
      <w:r w:rsidR="001C78EE">
        <w:t>position requiring a sound knowledge of consum</w:t>
      </w:r>
      <w:r w:rsidR="0045121C">
        <w:t>er law and practice, including:</w:t>
      </w:r>
    </w:p>
    <w:p w:rsidR="00A026EC" w:rsidRDefault="00A026EC" w:rsidP="0045121C">
      <w:pPr>
        <w:pStyle w:val="ListBullet"/>
      </w:pPr>
      <w:r>
        <w:t xml:space="preserve">expertise and </w:t>
      </w:r>
      <w:r w:rsidRPr="00CA0BBE">
        <w:t xml:space="preserve">knowledge of </w:t>
      </w:r>
      <w:r>
        <w:t xml:space="preserve">the ACL, </w:t>
      </w:r>
      <w:r w:rsidRPr="00CA0BBE">
        <w:t>and the Victorian Civil and Administrative Tribunal (V</w:t>
      </w:r>
      <w:r>
        <w:t>CAT) Civil Claims List</w:t>
      </w:r>
      <w:r w:rsidR="009602B7">
        <w:t>,</w:t>
      </w:r>
      <w:r>
        <w:t xml:space="preserve"> </w:t>
      </w:r>
      <w:r w:rsidR="0042101F">
        <w:t>with the</w:t>
      </w:r>
      <w:r>
        <w:t xml:space="preserve"> capacity to address complex consumer cases</w:t>
      </w:r>
      <w:r w:rsidR="00CE463D">
        <w:t>, and</w:t>
      </w:r>
    </w:p>
    <w:p w:rsidR="00A026EC" w:rsidRDefault="00A026EC" w:rsidP="0045121C">
      <w:pPr>
        <w:pStyle w:val="ListBullet"/>
      </w:pPr>
      <w:r>
        <w:t>skill</w:t>
      </w:r>
      <w:r w:rsidR="001C78EE">
        <w:t>s</w:t>
      </w:r>
      <w:r>
        <w:t xml:space="preserve"> in the provision of consumer information, negotiation with traders</w:t>
      </w:r>
      <w:r w:rsidR="001F774C">
        <w:t>,</w:t>
      </w:r>
      <w:r>
        <w:t xml:space="preserve"> and preparation and representation at the VCAT Civil Claims List </w:t>
      </w:r>
      <w:r w:rsidRPr="00D2662A">
        <w:t xml:space="preserve">(with </w:t>
      </w:r>
      <w:r>
        <w:t>permission of the VCAT member).</w:t>
      </w:r>
    </w:p>
    <w:p w:rsidR="00A026EC" w:rsidRPr="00432C19" w:rsidRDefault="00A026EC" w:rsidP="00A026EC">
      <w:pPr>
        <w:pStyle w:val="Heading3"/>
      </w:pPr>
      <w:bookmarkStart w:id="89" w:name="_Toc464809952"/>
      <w:bookmarkStart w:id="90" w:name="_Toc465177438"/>
      <w:bookmarkStart w:id="91" w:name="_Toc466555134"/>
      <w:bookmarkStart w:id="92" w:name="_Toc468800850"/>
      <w:r>
        <w:t xml:space="preserve">4.3 </w:t>
      </w:r>
      <w:r w:rsidRPr="00432C19">
        <w:t xml:space="preserve">Professional development for </w:t>
      </w:r>
      <w:r>
        <w:t>consumer</w:t>
      </w:r>
      <w:r w:rsidRPr="00432C19">
        <w:t xml:space="preserve"> workers</w:t>
      </w:r>
      <w:bookmarkEnd w:id="89"/>
      <w:bookmarkEnd w:id="90"/>
      <w:bookmarkEnd w:id="91"/>
      <w:bookmarkEnd w:id="92"/>
    </w:p>
    <w:p w:rsidR="00A026EC" w:rsidRDefault="00A026EC" w:rsidP="00A026EC">
      <w:pPr>
        <w:pStyle w:val="BodyText"/>
      </w:pPr>
      <w:bookmarkStart w:id="93" w:name="_Toc464809954"/>
      <w:bookmarkStart w:id="94" w:name="_Toc464809953"/>
      <w:r>
        <w:t>The CAAP provider must develop and deliver an annual professional development program to support workers in organisations (main</w:t>
      </w:r>
      <w:r w:rsidR="001C78EE">
        <w:t>ly</w:t>
      </w:r>
      <w:r>
        <w:t xml:space="preserve"> community l</w:t>
      </w:r>
      <w:r w:rsidR="0006154A">
        <w:t>egal centres), who assist</w:t>
      </w:r>
      <w:r w:rsidR="0045121C">
        <w:t xml:space="preserve"> clients with consumer matters.</w:t>
      </w:r>
    </w:p>
    <w:p w:rsidR="00A026EC" w:rsidRDefault="00A026EC" w:rsidP="00A026EC">
      <w:pPr>
        <w:pStyle w:val="BodyText"/>
      </w:pPr>
      <w:r>
        <w:t xml:space="preserve">The professional development program </w:t>
      </w:r>
      <w:r w:rsidR="00FD414B">
        <w:t>must</w:t>
      </w:r>
      <w:r>
        <w:t xml:space="preserve"> focus on consumer law</w:t>
      </w:r>
      <w:r w:rsidR="00FD414B">
        <w:t>,</w:t>
      </w:r>
      <w:r>
        <w:t xml:space="preserve"> and will include any changes </w:t>
      </w:r>
      <w:r w:rsidR="001A77B0">
        <w:t xml:space="preserve">and updates resulting </w:t>
      </w:r>
      <w:r>
        <w:t xml:space="preserve">from the </w:t>
      </w:r>
      <w:r w:rsidR="003A13F7">
        <w:t xml:space="preserve">current </w:t>
      </w:r>
      <w:r>
        <w:t xml:space="preserve">ACL Review. The CAAP provider will be required to develop the professional development </w:t>
      </w:r>
      <w:r w:rsidR="009602B7">
        <w:t xml:space="preserve">program </w:t>
      </w:r>
      <w:r>
        <w:t xml:space="preserve">in response to </w:t>
      </w:r>
      <w:r w:rsidR="00FD414B">
        <w:t>the</w:t>
      </w:r>
      <w:r>
        <w:t xml:space="preserve"> identified needs</w:t>
      </w:r>
      <w:r w:rsidR="00FD414B">
        <w:t xml:space="preserve"> of consumer workers</w:t>
      </w:r>
      <w:r>
        <w:t>.</w:t>
      </w:r>
    </w:p>
    <w:bookmarkEnd w:id="93"/>
    <w:bookmarkEnd w:id="94"/>
    <w:p w:rsidR="00A026EC" w:rsidRDefault="00A026EC" w:rsidP="00A026EC">
      <w:pPr>
        <w:pStyle w:val="BodyText"/>
      </w:pPr>
      <w:r>
        <w:t xml:space="preserve">The professional development </w:t>
      </w:r>
      <w:r w:rsidR="009602B7">
        <w:t xml:space="preserve">program </w:t>
      </w:r>
      <w:r>
        <w:t>should be offered using a variety of delivery mechanisms to reach workers across Victoria</w:t>
      </w:r>
      <w:r w:rsidR="00FD414B">
        <w:t>.</w:t>
      </w:r>
      <w:r>
        <w:t xml:space="preserve"> </w:t>
      </w:r>
      <w:r w:rsidR="00FD414B">
        <w:t xml:space="preserve">This </w:t>
      </w:r>
      <w:r>
        <w:t xml:space="preserve">could include workshops, </w:t>
      </w:r>
      <w:r w:rsidRPr="0029003B">
        <w:t>live</w:t>
      </w:r>
      <w:r>
        <w:t xml:space="preserve"> or recorded webinar sessions, and site visits.</w:t>
      </w:r>
    </w:p>
    <w:p w:rsidR="001A77B0" w:rsidRDefault="001A77B0" w:rsidP="00A026EC">
      <w:pPr>
        <w:pStyle w:val="BodyText"/>
      </w:pPr>
      <w:r>
        <w:t xml:space="preserve">The CAAP provider will provide a minimum of five </w:t>
      </w:r>
      <w:r w:rsidR="009602B7">
        <w:t xml:space="preserve">professional development </w:t>
      </w:r>
      <w:r>
        <w:t>sessions annually, and inform community legal centres and other relevant organisations of the forthcoming sessions in a timely manner.</w:t>
      </w:r>
      <w:r w:rsidR="004C1373">
        <w:t xml:space="preserve"> </w:t>
      </w:r>
      <w:r w:rsidR="004C1373" w:rsidRPr="004C1373">
        <w:t>Consideration should be given to hosting one training ses</w:t>
      </w:r>
      <w:r w:rsidR="004C1373">
        <w:t>sion</w:t>
      </w:r>
      <w:r w:rsidR="004C1373" w:rsidRPr="004C1373">
        <w:t xml:space="preserve"> a year outside metropolitan Melbourne.</w:t>
      </w:r>
    </w:p>
    <w:p w:rsidR="00A026EC" w:rsidRDefault="00A026EC" w:rsidP="00A026EC">
      <w:pPr>
        <w:pStyle w:val="BodyText"/>
      </w:pPr>
      <w:r>
        <w:t xml:space="preserve">The proposed professional development </w:t>
      </w:r>
      <w:r w:rsidR="009602B7">
        <w:t xml:space="preserve">program </w:t>
      </w:r>
      <w:r>
        <w:t>could also offer</w:t>
      </w:r>
      <w:r w:rsidRPr="00706CFD">
        <w:t xml:space="preserve"> secondments </w:t>
      </w:r>
      <w:r w:rsidR="001F774C">
        <w:t>for consumer workers</w:t>
      </w:r>
      <w:r w:rsidRPr="00706CFD">
        <w:t xml:space="preserve"> wh</w:t>
      </w:r>
      <w:r w:rsidR="001F774C">
        <w:t>o wish to up</w:t>
      </w:r>
      <w:r w:rsidR="009602B7">
        <w:t>-</w:t>
      </w:r>
      <w:r w:rsidR="001F774C">
        <w:t xml:space="preserve">skill in </w:t>
      </w:r>
      <w:r w:rsidR="0045121C">
        <w:t>consumer law.</w:t>
      </w:r>
    </w:p>
    <w:p w:rsidR="00A026EC" w:rsidRDefault="00FD414B" w:rsidP="00A026EC">
      <w:pPr>
        <w:pStyle w:val="BodyText"/>
      </w:pPr>
      <w:r>
        <w:t>T</w:t>
      </w:r>
      <w:r w:rsidR="00A026EC">
        <w:t xml:space="preserve">he CAAP provider </w:t>
      </w:r>
      <w:r>
        <w:t xml:space="preserve">must also </w:t>
      </w:r>
      <w:r w:rsidR="00A026EC">
        <w:t>develop and maintain</w:t>
      </w:r>
      <w:r w:rsidR="00A026EC" w:rsidRPr="0029003B">
        <w:t xml:space="preserve"> </w:t>
      </w:r>
      <w:r w:rsidR="00A026EC">
        <w:t>an online repository that will hold practice resources including tools</w:t>
      </w:r>
      <w:r w:rsidR="009602B7">
        <w:t>, templates</w:t>
      </w:r>
      <w:r w:rsidR="00A026EC">
        <w:t xml:space="preserve"> and practice notes</w:t>
      </w:r>
      <w:r w:rsidR="003A13F7">
        <w:t xml:space="preserve"> accessible to all Victorian CLC workers</w:t>
      </w:r>
      <w:r w:rsidR="00A026EC">
        <w:t>.</w:t>
      </w:r>
    </w:p>
    <w:p w:rsidR="00A026EC" w:rsidRPr="00EB75C8" w:rsidRDefault="00A026EC" w:rsidP="00A026EC">
      <w:pPr>
        <w:pStyle w:val="BodyText"/>
      </w:pPr>
      <w:r>
        <w:t>The CAAP provider must include in the six-monthly narrative report to CAV, information on the professional development program.</w:t>
      </w:r>
    </w:p>
    <w:p w:rsidR="00A026EC" w:rsidRPr="00E515DD" w:rsidRDefault="00A026EC" w:rsidP="00A026EC">
      <w:pPr>
        <w:pStyle w:val="Heading3"/>
      </w:pPr>
      <w:bookmarkStart w:id="95" w:name="_Toc464809950"/>
      <w:bookmarkStart w:id="96" w:name="_Toc465177436"/>
      <w:bookmarkStart w:id="97" w:name="_Toc466555138"/>
      <w:bookmarkStart w:id="98" w:name="_Toc468800851"/>
      <w:r>
        <w:lastRenderedPageBreak/>
        <w:t>4.4 Consumer</w:t>
      </w:r>
      <w:r w:rsidRPr="00E515DD">
        <w:t xml:space="preserve"> campaigns and media</w:t>
      </w:r>
      <w:bookmarkEnd w:id="95"/>
      <w:bookmarkEnd w:id="96"/>
      <w:bookmarkEnd w:id="97"/>
      <w:bookmarkEnd w:id="98"/>
    </w:p>
    <w:p w:rsidR="00A026EC" w:rsidRDefault="00A026EC" w:rsidP="00A026EC">
      <w:pPr>
        <w:pStyle w:val="BodyText"/>
        <w:rPr>
          <w:szCs w:val="24"/>
        </w:rPr>
      </w:pPr>
      <w:r>
        <w:t>CAAP will carry out</w:t>
      </w:r>
      <w:r w:rsidRPr="0029003B">
        <w:t xml:space="preserve"> </w:t>
      </w:r>
      <w:r>
        <w:t>consumer</w:t>
      </w:r>
      <w:r w:rsidRPr="0029003B">
        <w:t xml:space="preserve"> campai</w:t>
      </w:r>
      <w:r>
        <w:t>gns and media activities that address</w:t>
      </w:r>
      <w:r w:rsidRPr="0029003B">
        <w:t xml:space="preserve"> </w:t>
      </w:r>
      <w:r>
        <w:t xml:space="preserve">emerging and systemic consumer issues. </w:t>
      </w:r>
      <w:r>
        <w:rPr>
          <w:szCs w:val="24"/>
        </w:rPr>
        <w:t>Each yea</w:t>
      </w:r>
      <w:r w:rsidR="00CB1234">
        <w:rPr>
          <w:szCs w:val="24"/>
        </w:rPr>
        <w:t>r</w:t>
      </w:r>
      <w:r w:rsidR="001F774C">
        <w:rPr>
          <w:szCs w:val="24"/>
        </w:rPr>
        <w:t xml:space="preserve"> CAAP will identify</w:t>
      </w:r>
      <w:r>
        <w:rPr>
          <w:szCs w:val="24"/>
        </w:rPr>
        <w:t xml:space="preserve"> </w:t>
      </w:r>
      <w:r w:rsidR="001F774C">
        <w:rPr>
          <w:szCs w:val="24"/>
        </w:rPr>
        <w:t xml:space="preserve">several </w:t>
      </w:r>
      <w:r w:rsidRPr="00766913">
        <w:rPr>
          <w:szCs w:val="24"/>
        </w:rPr>
        <w:t xml:space="preserve">emerging </w:t>
      </w:r>
      <w:r w:rsidR="001F774C">
        <w:rPr>
          <w:szCs w:val="24"/>
        </w:rPr>
        <w:t xml:space="preserve">or systemic </w:t>
      </w:r>
      <w:r w:rsidRPr="00766913">
        <w:rPr>
          <w:szCs w:val="24"/>
        </w:rPr>
        <w:t xml:space="preserve">issues </w:t>
      </w:r>
      <w:r w:rsidR="001F774C">
        <w:rPr>
          <w:szCs w:val="24"/>
        </w:rPr>
        <w:t xml:space="preserve">as </w:t>
      </w:r>
      <w:r w:rsidR="0006154A">
        <w:rPr>
          <w:szCs w:val="24"/>
        </w:rPr>
        <w:t>priority</w:t>
      </w:r>
      <w:r w:rsidR="001F774C">
        <w:rPr>
          <w:szCs w:val="24"/>
        </w:rPr>
        <w:t xml:space="preserve"> issues.</w:t>
      </w:r>
      <w:r w:rsidR="001A77B0">
        <w:rPr>
          <w:szCs w:val="24"/>
        </w:rPr>
        <w:t xml:space="preserve"> </w:t>
      </w:r>
      <w:r w:rsidR="001F774C">
        <w:rPr>
          <w:szCs w:val="24"/>
        </w:rPr>
        <w:t>(</w:t>
      </w:r>
      <w:r w:rsidR="001A77B0">
        <w:rPr>
          <w:szCs w:val="24"/>
        </w:rPr>
        <w:t xml:space="preserve">These </w:t>
      </w:r>
      <w:r w:rsidR="0006154A">
        <w:rPr>
          <w:szCs w:val="24"/>
        </w:rPr>
        <w:t>priority</w:t>
      </w:r>
      <w:r w:rsidR="001A77B0">
        <w:rPr>
          <w:szCs w:val="24"/>
        </w:rPr>
        <w:t xml:space="preserve"> </w:t>
      </w:r>
      <w:r w:rsidR="001F774C">
        <w:rPr>
          <w:szCs w:val="24"/>
        </w:rPr>
        <w:t>issue</w:t>
      </w:r>
      <w:r w:rsidR="001A77B0">
        <w:rPr>
          <w:szCs w:val="24"/>
        </w:rPr>
        <w:t xml:space="preserve">s will also form the basis of prioritisation for CAAP </w:t>
      </w:r>
      <w:r w:rsidR="009D7E9D">
        <w:rPr>
          <w:szCs w:val="24"/>
        </w:rPr>
        <w:t>Casework</w:t>
      </w:r>
      <w:r w:rsidR="001A77B0">
        <w:rPr>
          <w:szCs w:val="24"/>
        </w:rPr>
        <w:t>.</w:t>
      </w:r>
      <w:r w:rsidR="001F774C">
        <w:rPr>
          <w:szCs w:val="24"/>
        </w:rPr>
        <w:t>)</w:t>
      </w:r>
    </w:p>
    <w:p w:rsidR="00A026EC" w:rsidRDefault="00A026EC" w:rsidP="00A026EC">
      <w:pPr>
        <w:pStyle w:val="BodyText"/>
      </w:pPr>
      <w:r>
        <w:t xml:space="preserve">It is expected that </w:t>
      </w:r>
      <w:r w:rsidR="00CB1234">
        <w:t>CAAP will promote the consumer view</w:t>
      </w:r>
      <w:r>
        <w:t xml:space="preserve"> </w:t>
      </w:r>
      <w:r w:rsidR="00CB1234">
        <w:t xml:space="preserve">on emerging and systemic issues </w:t>
      </w:r>
      <w:r>
        <w:t>to the mass market, using a variety of mediums including social media.</w:t>
      </w:r>
    </w:p>
    <w:p w:rsidR="00A026EC" w:rsidRPr="0029003B" w:rsidRDefault="00A026EC" w:rsidP="00A026EC">
      <w:pPr>
        <w:pStyle w:val="BodyText"/>
      </w:pPr>
      <w:r>
        <w:t xml:space="preserve">Media and campaign strategies </w:t>
      </w:r>
      <w:r w:rsidRPr="0029003B">
        <w:t>may be implemented</w:t>
      </w:r>
      <w:r>
        <w:t xml:space="preserve"> by the CAAP provider independently or</w:t>
      </w:r>
      <w:r w:rsidRPr="0029003B">
        <w:t xml:space="preserve"> in partnership with other organisations.</w:t>
      </w:r>
    </w:p>
    <w:p w:rsidR="00A026EC" w:rsidRDefault="00A026EC" w:rsidP="00A026EC">
      <w:pPr>
        <w:pStyle w:val="BodyText"/>
      </w:pPr>
      <w:r>
        <w:t>The CAAP provider must include in the six-monthly narrative report to CAV, information on the consumer campaigns and media work, including the initiatives undertaken and the response</w:t>
      </w:r>
      <w:r w:rsidR="00FD414B">
        <w:t>s</w:t>
      </w:r>
      <w:r>
        <w:t xml:space="preserve"> achieved.</w:t>
      </w:r>
    </w:p>
    <w:p w:rsidR="00A026EC" w:rsidRPr="00621BEC" w:rsidRDefault="00A026EC" w:rsidP="00A026EC">
      <w:pPr>
        <w:pStyle w:val="BodyText"/>
      </w:pPr>
      <w:r>
        <w:t xml:space="preserve">The CAAP </w:t>
      </w:r>
      <w:r w:rsidRPr="00621BEC">
        <w:t>provider must give prior notice to CAV of any campaign</w:t>
      </w:r>
      <w:r>
        <w:t>s</w:t>
      </w:r>
      <w:r w:rsidRPr="00621BEC">
        <w:t xml:space="preserve"> or media activities </w:t>
      </w:r>
      <w:r>
        <w:t xml:space="preserve">expected </w:t>
      </w:r>
      <w:r w:rsidRPr="00621BEC">
        <w:t>to result in significant public exposure of issues to which the Governme</w:t>
      </w:r>
      <w:r>
        <w:t xml:space="preserve">nt will </w:t>
      </w:r>
      <w:r w:rsidRPr="00621BEC">
        <w:t xml:space="preserve">likely </w:t>
      </w:r>
      <w:r>
        <w:t>be required to respond.</w:t>
      </w:r>
    </w:p>
    <w:p w:rsidR="00A026EC" w:rsidRPr="00272708" w:rsidRDefault="00A026EC" w:rsidP="00A026EC">
      <w:pPr>
        <w:pStyle w:val="Heading3"/>
      </w:pPr>
      <w:bookmarkStart w:id="99" w:name="_Toc464809951"/>
      <w:bookmarkStart w:id="100" w:name="_Toc465177437"/>
      <w:bookmarkStart w:id="101" w:name="_Toc466555139"/>
      <w:bookmarkStart w:id="102" w:name="_Toc468800852"/>
      <w:r>
        <w:t xml:space="preserve">4.5 </w:t>
      </w:r>
      <w:r w:rsidR="00CE3B73">
        <w:t>Consumer p</w:t>
      </w:r>
      <w:r>
        <w:t>olicy</w:t>
      </w:r>
      <w:r w:rsidRPr="00272708">
        <w:t xml:space="preserve"> and advocacy</w:t>
      </w:r>
      <w:bookmarkEnd w:id="99"/>
      <w:bookmarkEnd w:id="100"/>
      <w:bookmarkEnd w:id="101"/>
      <w:bookmarkEnd w:id="102"/>
    </w:p>
    <w:p w:rsidR="00A026EC" w:rsidRDefault="00A026EC" w:rsidP="00A026EC">
      <w:pPr>
        <w:pStyle w:val="BodyText"/>
      </w:pPr>
      <w:r>
        <w:t>CAAP</w:t>
      </w:r>
      <w:r w:rsidRPr="0029003B">
        <w:t xml:space="preserve"> </w:t>
      </w:r>
      <w:r>
        <w:t xml:space="preserve">must engage in consumer </w:t>
      </w:r>
      <w:r w:rsidRPr="0029003B">
        <w:t xml:space="preserve">policy and advocacy work that </w:t>
      </w:r>
      <w:r w:rsidR="00FD414B">
        <w:t>will</w:t>
      </w:r>
      <w:r w:rsidRPr="0029003B">
        <w:t xml:space="preserve"> impact on Victorian</w:t>
      </w:r>
      <w:r>
        <w:t xml:space="preserve"> consumers </w:t>
      </w:r>
      <w:r w:rsidRPr="0029003B">
        <w:t>(especially those who are vulner</w:t>
      </w:r>
      <w:r>
        <w:t>able and disadvantaged). The CAAP</w:t>
      </w:r>
      <w:r w:rsidRPr="0029003B">
        <w:t xml:space="preserve"> </w:t>
      </w:r>
      <w:r>
        <w:t>provider must</w:t>
      </w:r>
      <w:r w:rsidRPr="0029003B">
        <w:t xml:space="preserve"> participate in policy-making processes, networks, forums and reviews to improve government and industry policies that affect </w:t>
      </w:r>
      <w:r>
        <w:t>consumers</w:t>
      </w:r>
      <w:r w:rsidRPr="0029003B">
        <w:t>.</w:t>
      </w:r>
    </w:p>
    <w:p w:rsidR="00A026EC" w:rsidRPr="0029003B" w:rsidRDefault="00A026EC" w:rsidP="00A026EC">
      <w:pPr>
        <w:pStyle w:val="BodyText"/>
      </w:pPr>
      <w:r w:rsidRPr="0029003B">
        <w:t xml:space="preserve">It is expected </w:t>
      </w:r>
      <w:r>
        <w:t xml:space="preserve">that </w:t>
      </w:r>
      <w:r w:rsidRPr="0029003B">
        <w:t xml:space="preserve">the </w:t>
      </w:r>
      <w:r>
        <w:t xml:space="preserve">CAAP provider </w:t>
      </w:r>
      <w:r w:rsidRPr="0029003B">
        <w:t xml:space="preserve">will </w:t>
      </w:r>
      <w:r w:rsidR="00CE3B73">
        <w:t>contribute</w:t>
      </w:r>
      <w:r>
        <w:t xml:space="preserve"> to the outcomes </w:t>
      </w:r>
      <w:r w:rsidR="00CE3B73">
        <w:t>of</w:t>
      </w:r>
      <w:r>
        <w:t xml:space="preserve"> the current </w:t>
      </w:r>
      <w:r w:rsidR="00FD414B">
        <w:t>r</w:t>
      </w:r>
      <w:r>
        <w:t>eview of the ACL</w:t>
      </w:r>
      <w:r w:rsidR="00CE3B73">
        <w:t>,</w:t>
      </w:r>
      <w:r w:rsidR="001A77B0">
        <w:t xml:space="preserve"> and </w:t>
      </w:r>
      <w:r w:rsidR="00FD414B">
        <w:t>may play a role in</w:t>
      </w:r>
      <w:r w:rsidR="009F56F7">
        <w:t xml:space="preserve"> informing the sector of </w:t>
      </w:r>
      <w:r w:rsidR="001A77B0">
        <w:t xml:space="preserve">any </w:t>
      </w:r>
      <w:r w:rsidR="009F56F7">
        <w:t xml:space="preserve">resulting </w:t>
      </w:r>
      <w:r w:rsidR="001A77B0">
        <w:t xml:space="preserve">changes </w:t>
      </w:r>
      <w:r w:rsidR="009F56F7">
        <w:t>and updates to the ACL</w:t>
      </w:r>
      <w:r>
        <w:t>.</w:t>
      </w:r>
    </w:p>
    <w:p w:rsidR="00A026EC" w:rsidRDefault="00A026EC" w:rsidP="00A026EC">
      <w:pPr>
        <w:pStyle w:val="BodyText"/>
      </w:pPr>
      <w:r>
        <w:t>The CAAP provider must include in the six-monthly narrative report to CAV, information on the consumer policy and advocacy work, including the issues pursued, the parties approached, and the responses achieved.</w:t>
      </w:r>
    </w:p>
    <w:p w:rsidR="00A026EC" w:rsidRPr="00EA530C" w:rsidRDefault="00A026EC" w:rsidP="00A026EC">
      <w:pPr>
        <w:pStyle w:val="Heading2"/>
      </w:pPr>
      <w:bookmarkStart w:id="103" w:name="_Toc468800853"/>
      <w:bookmarkStart w:id="104" w:name="_Toc465155273"/>
      <w:bookmarkStart w:id="105" w:name="_Toc465156603"/>
      <w:bookmarkStart w:id="106" w:name="_Toc465156745"/>
      <w:bookmarkEnd w:id="72"/>
      <w:bookmarkEnd w:id="73"/>
      <w:bookmarkEnd w:id="74"/>
      <w:r>
        <w:t>5. Evaluation of CAAP</w:t>
      </w:r>
      <w:bookmarkEnd w:id="103"/>
    </w:p>
    <w:p w:rsidR="00A026EC" w:rsidRPr="008357EE" w:rsidRDefault="00A026EC" w:rsidP="00A026EC">
      <w:pPr>
        <w:pStyle w:val="BodyText"/>
      </w:pPr>
      <w:r>
        <w:t>It is expected that the CAAP provider will develop an outcome evaluation framework t</w:t>
      </w:r>
      <w:r w:rsidR="009F56F7">
        <w:t>o</w:t>
      </w:r>
      <w:r>
        <w:t xml:space="preserve"> evidence </w:t>
      </w:r>
      <w:r w:rsidR="009F56F7">
        <w:t xml:space="preserve">how effectively </w:t>
      </w:r>
      <w:r>
        <w:t>CAAP</w:t>
      </w:r>
      <w:r w:rsidR="009F56F7">
        <w:t xml:space="preserve"> services deliver outcomes for vulnerable and disadvantaged consumers.</w:t>
      </w:r>
    </w:p>
    <w:p w:rsidR="00A026EC" w:rsidRDefault="00A026EC" w:rsidP="00A026EC">
      <w:pPr>
        <w:pStyle w:val="BodyText"/>
      </w:pPr>
      <w:r w:rsidRPr="00633D9F">
        <w:t>The framework should clarify and articulate the purpose of the CAAP services, inform s</w:t>
      </w:r>
      <w:r w:rsidR="00FD414B" w:rsidRPr="00633D9F">
        <w:t>takeholders</w:t>
      </w:r>
      <w:r w:rsidRPr="00633D9F">
        <w:t>, a</w:t>
      </w:r>
      <w:r w:rsidR="009F56F7" w:rsidRPr="00633D9F">
        <w:t>nd inform policy</w:t>
      </w:r>
      <w:r w:rsidR="00633D9F">
        <w:t xml:space="preserve"> and future direction of the service</w:t>
      </w:r>
      <w:r w:rsidR="009F56F7" w:rsidRPr="00633D9F">
        <w:t>.</w:t>
      </w:r>
    </w:p>
    <w:p w:rsidR="009F56F7" w:rsidRDefault="009F56F7" w:rsidP="00A026EC">
      <w:pPr>
        <w:pStyle w:val="BodyText"/>
      </w:pPr>
      <w:r>
        <w:t xml:space="preserve">The CAAP provider will work collaboratively with CAV to agree </w:t>
      </w:r>
      <w:r w:rsidR="00470300">
        <w:t xml:space="preserve">to </w:t>
      </w:r>
      <w:r>
        <w:t>the evaluation framework.</w:t>
      </w:r>
    </w:p>
    <w:p w:rsidR="00A026EC" w:rsidRPr="00EA530C" w:rsidRDefault="00A026EC" w:rsidP="00A026EC">
      <w:pPr>
        <w:pStyle w:val="Heading2"/>
      </w:pPr>
      <w:bookmarkStart w:id="107" w:name="_Toc468800854"/>
      <w:r>
        <w:t>6. Relationship with CAV</w:t>
      </w:r>
      <w:bookmarkEnd w:id="107"/>
      <w:r>
        <w:t xml:space="preserve"> </w:t>
      </w:r>
    </w:p>
    <w:p w:rsidR="00A026EC" w:rsidRDefault="00A026EC" w:rsidP="00A026EC">
      <w:pPr>
        <w:pStyle w:val="BodyText"/>
      </w:pPr>
      <w:r>
        <w:t>The</w:t>
      </w:r>
      <w:r w:rsidRPr="007F1093">
        <w:t xml:space="preserve"> </w:t>
      </w:r>
      <w:r>
        <w:t>CAAP</w:t>
      </w:r>
      <w:r w:rsidRPr="007F1093">
        <w:t xml:space="preserve"> </w:t>
      </w:r>
      <w:r>
        <w:t>provider will</w:t>
      </w:r>
      <w:r w:rsidRPr="007F1093">
        <w:t xml:space="preserve"> be a member of </w:t>
      </w:r>
      <w:r>
        <w:t>CAV’s</w:t>
      </w:r>
      <w:r w:rsidRPr="007F1093">
        <w:t xml:space="preserve"> </w:t>
      </w:r>
      <w:r>
        <w:t xml:space="preserve">Funded Services Reference Panel that will meet </w:t>
      </w:r>
      <w:r w:rsidR="003A13F7">
        <w:t xml:space="preserve">at least </w:t>
      </w:r>
      <w:r>
        <w:t>twice a year</w:t>
      </w:r>
      <w:r w:rsidRPr="00E2214D">
        <w:t xml:space="preserve"> </w:t>
      </w:r>
      <w:r>
        <w:t>a</w:t>
      </w:r>
      <w:r w:rsidRPr="007F1093">
        <w:t>s a component of CAV’s Partnership Strategy</w:t>
      </w:r>
      <w:r>
        <w:t>.</w:t>
      </w:r>
    </w:p>
    <w:p w:rsidR="00A026EC" w:rsidRDefault="00A026EC" w:rsidP="00A026EC">
      <w:pPr>
        <w:pStyle w:val="BodyText"/>
      </w:pPr>
      <w:r>
        <w:lastRenderedPageBreak/>
        <w:t>It is expected that the CAAP provider will meet regularly with CAV senior management through a f</w:t>
      </w:r>
      <w:r w:rsidR="00FE5470">
        <w:t xml:space="preserve">ormalised structure to </w:t>
      </w:r>
      <w:r w:rsidR="003C2204">
        <w:t xml:space="preserve">present the narrative report and to </w:t>
      </w:r>
      <w:r w:rsidR="00FE5470">
        <w:t>discuss:</w:t>
      </w:r>
    </w:p>
    <w:p w:rsidR="00A026EC" w:rsidRDefault="0081238C" w:rsidP="0045121C">
      <w:pPr>
        <w:pStyle w:val="ListBullet"/>
      </w:pPr>
      <w:r>
        <w:t>emerging consumer issues</w:t>
      </w:r>
    </w:p>
    <w:p w:rsidR="00A026EC" w:rsidRDefault="0081238C" w:rsidP="0045121C">
      <w:pPr>
        <w:pStyle w:val="ListBullet"/>
      </w:pPr>
      <w:r>
        <w:t>campaign and media strategies</w:t>
      </w:r>
    </w:p>
    <w:p w:rsidR="00A026EC" w:rsidRDefault="00A026EC" w:rsidP="0045121C">
      <w:pPr>
        <w:pStyle w:val="ListBullet"/>
      </w:pPr>
      <w:r>
        <w:t>compliance issues</w:t>
      </w:r>
      <w:r w:rsidR="0081238C">
        <w:t>, and</w:t>
      </w:r>
    </w:p>
    <w:p w:rsidR="00FE5470" w:rsidRDefault="00FE5470" w:rsidP="0045121C">
      <w:pPr>
        <w:pStyle w:val="ListBullet"/>
      </w:pPr>
      <w:r>
        <w:t>community education.</w:t>
      </w:r>
    </w:p>
    <w:p w:rsidR="00A026EC" w:rsidRPr="00EA530C" w:rsidRDefault="006C266F" w:rsidP="00A026EC">
      <w:pPr>
        <w:pStyle w:val="Heading2"/>
      </w:pPr>
      <w:bookmarkStart w:id="108" w:name="_Toc468800855"/>
      <w:r>
        <w:t>7</w:t>
      </w:r>
      <w:r w:rsidR="00A026EC">
        <w:t xml:space="preserve">. </w:t>
      </w:r>
      <w:r w:rsidR="00A026EC" w:rsidRPr="00EA530C">
        <w:t>Funding</w:t>
      </w:r>
      <w:bookmarkEnd w:id="104"/>
      <w:bookmarkEnd w:id="105"/>
      <w:bookmarkEnd w:id="106"/>
      <w:bookmarkEnd w:id="108"/>
    </w:p>
    <w:p w:rsidR="00A026EC" w:rsidRPr="00EA530C" w:rsidRDefault="006C266F" w:rsidP="00A026EC">
      <w:pPr>
        <w:pStyle w:val="Heading3"/>
      </w:pPr>
      <w:bookmarkStart w:id="109" w:name="_Toc465155274"/>
      <w:bookmarkStart w:id="110" w:name="_Toc465156604"/>
      <w:bookmarkStart w:id="111" w:name="_Toc465156746"/>
      <w:bookmarkStart w:id="112" w:name="_Toc468800856"/>
      <w:r>
        <w:t>7</w:t>
      </w:r>
      <w:r w:rsidR="00A026EC">
        <w:t xml:space="preserve">.1 </w:t>
      </w:r>
      <w:bookmarkStart w:id="113" w:name="_Toc465155275"/>
      <w:bookmarkStart w:id="114" w:name="_Toc465156605"/>
      <w:bookmarkStart w:id="115" w:name="_Toc465156747"/>
      <w:bookmarkEnd w:id="109"/>
      <w:bookmarkEnd w:id="110"/>
      <w:bookmarkEnd w:id="111"/>
      <w:r w:rsidR="00A026EC">
        <w:t xml:space="preserve">Funding </w:t>
      </w:r>
      <w:bookmarkEnd w:id="113"/>
      <w:bookmarkEnd w:id="114"/>
      <w:bookmarkEnd w:id="115"/>
      <w:r w:rsidR="00670D90">
        <w:t>allocation</w:t>
      </w:r>
      <w:bookmarkEnd w:id="112"/>
    </w:p>
    <w:p w:rsidR="00A026EC" w:rsidRDefault="00A026EC" w:rsidP="00A026EC">
      <w:pPr>
        <w:pStyle w:val="BodyText"/>
      </w:pPr>
      <w:r w:rsidRPr="00C52AB4">
        <w:t xml:space="preserve">Funding under the </w:t>
      </w:r>
      <w:r>
        <w:t>CAAP</w:t>
      </w:r>
      <w:r w:rsidRPr="00C52AB4">
        <w:t xml:space="preserve"> is provided for the recurrent operational costs of services. Funding is not provided for capital costs. </w:t>
      </w:r>
      <w:r>
        <w:t>CAAP</w:t>
      </w:r>
      <w:r w:rsidRPr="00C52AB4">
        <w:t xml:space="preserve"> funds may not be used to provide direct financial assistance to clients.</w:t>
      </w:r>
    </w:p>
    <w:p w:rsidR="00A026EC" w:rsidRDefault="00A026EC" w:rsidP="00A026EC">
      <w:pPr>
        <w:pStyle w:val="BodyText"/>
      </w:pPr>
      <w:r w:rsidRPr="00B2301C">
        <w:t xml:space="preserve">The rate for a </w:t>
      </w:r>
      <w:r>
        <w:t xml:space="preserve">CAAP </w:t>
      </w:r>
      <w:r w:rsidR="009D7E9D">
        <w:t>Casework</w:t>
      </w:r>
      <w:r w:rsidRPr="00B2301C">
        <w:t xml:space="preserve"> FTE worker in 2017-18 is $119,306, and </w:t>
      </w:r>
      <w:r>
        <w:t xml:space="preserve">for </w:t>
      </w:r>
      <w:r w:rsidRPr="00B2301C">
        <w:t xml:space="preserve">a </w:t>
      </w:r>
      <w:r>
        <w:t xml:space="preserve">lawyer FTE </w:t>
      </w:r>
      <w:r w:rsidRPr="00B2301C">
        <w:t xml:space="preserve">is $139,561. Both are inclusive of salary, employee costs, management and supervision, and </w:t>
      </w:r>
      <w:r>
        <w:t xml:space="preserve">the </w:t>
      </w:r>
      <w:r w:rsidRPr="00B2301C">
        <w:t>Equal Remuneration Order (ERO) supplementation under the Social, Community, Home Care and Disability Ser</w:t>
      </w:r>
      <w:r>
        <w:t>vices (SCHCADS) Industry Award.</w:t>
      </w:r>
    </w:p>
    <w:p w:rsidR="00A026EC" w:rsidRPr="00B2301C" w:rsidRDefault="00A026EC" w:rsidP="00A026EC">
      <w:pPr>
        <w:pStyle w:val="BodyText"/>
      </w:pPr>
      <w:r w:rsidRPr="00B2301C">
        <w:t xml:space="preserve">Funding in subsequent years will be indexed at the rate agreed between DHHS and the Victorian Council of Social Services (currently </w:t>
      </w:r>
      <w:r w:rsidR="00670D90">
        <w:t>two per cent</w:t>
      </w:r>
      <w:r w:rsidRPr="00B2301C">
        <w:t>)</w:t>
      </w:r>
      <w:r>
        <w:t>,</w:t>
      </w:r>
      <w:r w:rsidRPr="00B2301C">
        <w:t xml:space="preserve"> and increased by the applicable ERO supplementation component o</w:t>
      </w:r>
      <w:r>
        <w:t>f</w:t>
      </w:r>
      <w:r w:rsidRPr="00B2301C">
        <w:t xml:space="preserve"> the </w:t>
      </w:r>
      <w:r>
        <w:t>S</w:t>
      </w:r>
      <w:r w:rsidRPr="00B2301C">
        <w:t>CHCADS Award.</w:t>
      </w:r>
    </w:p>
    <w:p w:rsidR="00A026EC" w:rsidRPr="009F56F7" w:rsidRDefault="00A026EC" w:rsidP="009F56F7">
      <w:pPr>
        <w:pStyle w:val="Heading4"/>
      </w:pPr>
      <w:bookmarkStart w:id="116" w:name="_Toc465177445"/>
      <w:bookmarkStart w:id="117" w:name="_Toc466382723"/>
      <w:r w:rsidRPr="009F56F7">
        <w:t>Table 1: CAAP Funding 2017-18</w:t>
      </w:r>
      <w:bookmarkEnd w:id="116"/>
      <w:bookmarkEnd w:id="117"/>
    </w:p>
    <w:p w:rsidR="00A026EC" w:rsidRPr="00E54DA0" w:rsidRDefault="00A026EC" w:rsidP="00A026EC">
      <w:pPr>
        <w:rPr>
          <w:rFonts w:cs="Arial"/>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3"/>
        <w:gridCol w:w="1414"/>
        <w:gridCol w:w="1561"/>
      </w:tblGrid>
      <w:tr w:rsidR="00A026EC" w:rsidRPr="00155054" w:rsidTr="004543C6">
        <w:tc>
          <w:tcPr>
            <w:tcW w:w="6653" w:type="dxa"/>
            <w:shd w:val="clear" w:color="auto" w:fill="F2F2F2"/>
          </w:tcPr>
          <w:p w:rsidR="00A026EC" w:rsidRPr="00155054" w:rsidRDefault="00A026EC" w:rsidP="004543C6">
            <w:pPr>
              <w:pStyle w:val="TableText"/>
              <w:rPr>
                <w:rFonts w:eastAsia="Calibri"/>
                <w:b/>
              </w:rPr>
            </w:pPr>
            <w:r w:rsidRPr="00155054">
              <w:rPr>
                <w:rFonts w:eastAsia="Calibri"/>
                <w:b/>
              </w:rPr>
              <w:t>Component</w:t>
            </w:r>
          </w:p>
        </w:tc>
        <w:tc>
          <w:tcPr>
            <w:tcW w:w="1414" w:type="dxa"/>
            <w:shd w:val="clear" w:color="auto" w:fill="F2F2F2"/>
          </w:tcPr>
          <w:p w:rsidR="00A026EC" w:rsidRPr="00155054" w:rsidRDefault="00A026EC" w:rsidP="00A32547">
            <w:pPr>
              <w:pStyle w:val="TableText"/>
              <w:jc w:val="center"/>
              <w:rPr>
                <w:rFonts w:eastAsia="Calibri"/>
                <w:b/>
              </w:rPr>
            </w:pPr>
            <w:r w:rsidRPr="00155054">
              <w:rPr>
                <w:rFonts w:eastAsia="Calibri"/>
                <w:b/>
              </w:rPr>
              <w:t>FTE</w:t>
            </w:r>
          </w:p>
        </w:tc>
        <w:tc>
          <w:tcPr>
            <w:tcW w:w="1561" w:type="dxa"/>
            <w:shd w:val="clear" w:color="auto" w:fill="F2F2F2"/>
          </w:tcPr>
          <w:p w:rsidR="00A026EC" w:rsidRPr="00155054" w:rsidRDefault="00A026EC" w:rsidP="0081238C">
            <w:pPr>
              <w:pStyle w:val="TableText"/>
              <w:jc w:val="center"/>
              <w:rPr>
                <w:rFonts w:eastAsia="Calibri"/>
                <w:b/>
              </w:rPr>
            </w:pPr>
            <w:r w:rsidRPr="00155054">
              <w:rPr>
                <w:rFonts w:eastAsia="Calibri"/>
                <w:b/>
              </w:rPr>
              <w:t>Funding</w:t>
            </w:r>
            <w:r>
              <w:rPr>
                <w:rFonts w:eastAsia="Calibri"/>
                <w:b/>
              </w:rPr>
              <w:t xml:space="preserve"> 2017-18</w:t>
            </w:r>
          </w:p>
        </w:tc>
      </w:tr>
      <w:tr w:rsidR="002B5882" w:rsidRPr="00155054" w:rsidTr="004543C6">
        <w:tc>
          <w:tcPr>
            <w:tcW w:w="6653" w:type="dxa"/>
            <w:shd w:val="clear" w:color="auto" w:fill="auto"/>
          </w:tcPr>
          <w:p w:rsidR="002B5882" w:rsidRPr="00155054" w:rsidRDefault="002B5882" w:rsidP="002B5882">
            <w:pPr>
              <w:pStyle w:val="TableText"/>
              <w:ind w:left="57"/>
              <w:rPr>
                <w:rFonts w:eastAsia="Calibri"/>
              </w:rPr>
            </w:pPr>
            <w:r>
              <w:rPr>
                <w:rFonts w:eastAsia="Calibri"/>
              </w:rPr>
              <w:t>Consumer</w:t>
            </w:r>
            <w:r w:rsidRPr="00155054">
              <w:rPr>
                <w:rFonts w:eastAsia="Calibri"/>
              </w:rPr>
              <w:t xml:space="preserve"> Advice Service </w:t>
            </w:r>
          </w:p>
        </w:tc>
        <w:tc>
          <w:tcPr>
            <w:tcW w:w="1414" w:type="dxa"/>
            <w:shd w:val="clear" w:color="auto" w:fill="auto"/>
          </w:tcPr>
          <w:p w:rsidR="002B5882" w:rsidRPr="00155054" w:rsidRDefault="002B5882" w:rsidP="002B5882">
            <w:pPr>
              <w:pStyle w:val="TableText"/>
              <w:jc w:val="center"/>
              <w:rPr>
                <w:rFonts w:eastAsia="Calibri"/>
              </w:rPr>
            </w:pPr>
            <w:r>
              <w:rPr>
                <w:rFonts w:eastAsia="Calibri"/>
              </w:rPr>
              <w:t>1.0</w:t>
            </w:r>
          </w:p>
        </w:tc>
        <w:tc>
          <w:tcPr>
            <w:tcW w:w="1561" w:type="dxa"/>
            <w:shd w:val="clear" w:color="auto" w:fill="auto"/>
          </w:tcPr>
          <w:p w:rsidR="002B5882" w:rsidRPr="00155054" w:rsidRDefault="002B5882" w:rsidP="0081238C">
            <w:pPr>
              <w:pStyle w:val="TableText"/>
              <w:jc w:val="right"/>
              <w:rPr>
                <w:rFonts w:eastAsia="Calibri"/>
              </w:rPr>
            </w:pPr>
            <w:r w:rsidRPr="00155054">
              <w:rPr>
                <w:rFonts w:eastAsia="Calibri"/>
              </w:rPr>
              <w:t>$</w:t>
            </w:r>
            <w:r>
              <w:rPr>
                <w:rFonts w:eastAsia="Calibri"/>
              </w:rPr>
              <w:t>139,561</w:t>
            </w:r>
          </w:p>
        </w:tc>
      </w:tr>
      <w:tr w:rsidR="002B5882" w:rsidRPr="00155054" w:rsidTr="004543C6">
        <w:tc>
          <w:tcPr>
            <w:tcW w:w="6653" w:type="dxa"/>
            <w:shd w:val="clear" w:color="auto" w:fill="auto"/>
          </w:tcPr>
          <w:p w:rsidR="002B5882" w:rsidRDefault="002B5882" w:rsidP="002B5882">
            <w:pPr>
              <w:pStyle w:val="TableText"/>
              <w:ind w:left="57"/>
              <w:rPr>
                <w:rFonts w:eastAsia="Calibri"/>
              </w:rPr>
            </w:pPr>
            <w:r>
              <w:rPr>
                <w:rFonts w:eastAsia="Calibri"/>
              </w:rPr>
              <w:t>CAAP Casework workers</w:t>
            </w:r>
          </w:p>
        </w:tc>
        <w:tc>
          <w:tcPr>
            <w:tcW w:w="1414" w:type="dxa"/>
            <w:shd w:val="clear" w:color="auto" w:fill="auto"/>
          </w:tcPr>
          <w:p w:rsidR="002B5882" w:rsidRDefault="002B5882" w:rsidP="002B5882">
            <w:pPr>
              <w:pStyle w:val="TableText"/>
              <w:jc w:val="center"/>
              <w:rPr>
                <w:rFonts w:eastAsia="Calibri"/>
              </w:rPr>
            </w:pPr>
            <w:r>
              <w:rPr>
                <w:rFonts w:eastAsia="Calibri"/>
              </w:rPr>
              <w:t>2.3</w:t>
            </w:r>
          </w:p>
        </w:tc>
        <w:tc>
          <w:tcPr>
            <w:tcW w:w="1561" w:type="dxa"/>
            <w:shd w:val="clear" w:color="auto" w:fill="auto"/>
          </w:tcPr>
          <w:p w:rsidR="002B5882" w:rsidRPr="00155054" w:rsidRDefault="002B5882" w:rsidP="0081238C">
            <w:pPr>
              <w:pStyle w:val="TableText"/>
              <w:jc w:val="right"/>
              <w:rPr>
                <w:rFonts w:eastAsia="Calibri"/>
              </w:rPr>
            </w:pPr>
            <w:r>
              <w:rPr>
                <w:rFonts w:eastAsia="Calibri"/>
              </w:rPr>
              <w:t>$274,404</w:t>
            </w:r>
          </w:p>
        </w:tc>
      </w:tr>
      <w:tr w:rsidR="002B5882" w:rsidRPr="00155054" w:rsidTr="0081238C">
        <w:tc>
          <w:tcPr>
            <w:tcW w:w="6653" w:type="dxa"/>
            <w:shd w:val="clear" w:color="auto" w:fill="auto"/>
          </w:tcPr>
          <w:p w:rsidR="002B5882" w:rsidRDefault="002B5882" w:rsidP="002B5882">
            <w:pPr>
              <w:pStyle w:val="TableText"/>
              <w:ind w:left="57"/>
              <w:rPr>
                <w:rFonts w:eastAsia="Calibri"/>
              </w:rPr>
            </w:pPr>
            <w:r w:rsidRPr="00D64068">
              <w:rPr>
                <w:rFonts w:eastAsia="Calibri"/>
              </w:rPr>
              <w:t xml:space="preserve">Professional development for consumer workers </w:t>
            </w:r>
          </w:p>
        </w:tc>
        <w:tc>
          <w:tcPr>
            <w:tcW w:w="1414" w:type="dxa"/>
            <w:shd w:val="clear" w:color="auto" w:fill="F2F2F2" w:themeFill="background1" w:themeFillShade="F2"/>
          </w:tcPr>
          <w:p w:rsidR="002B5882" w:rsidRDefault="002B5882" w:rsidP="002B5882">
            <w:pPr>
              <w:pStyle w:val="TableText"/>
              <w:jc w:val="center"/>
              <w:rPr>
                <w:rFonts w:eastAsia="Calibri"/>
              </w:rPr>
            </w:pPr>
          </w:p>
        </w:tc>
        <w:tc>
          <w:tcPr>
            <w:tcW w:w="1561" w:type="dxa"/>
            <w:shd w:val="clear" w:color="auto" w:fill="auto"/>
          </w:tcPr>
          <w:p w:rsidR="002B5882" w:rsidRPr="00155054" w:rsidRDefault="002B5882" w:rsidP="0081238C">
            <w:pPr>
              <w:pStyle w:val="TableText"/>
              <w:jc w:val="right"/>
              <w:rPr>
                <w:rFonts w:eastAsia="Calibri"/>
              </w:rPr>
            </w:pPr>
            <w:r w:rsidRPr="00D64068">
              <w:rPr>
                <w:rFonts w:eastAsia="Calibri"/>
              </w:rPr>
              <w:t>$50,000</w:t>
            </w:r>
          </w:p>
        </w:tc>
      </w:tr>
      <w:tr w:rsidR="002B5882" w:rsidRPr="00155054" w:rsidTr="004543C6">
        <w:tc>
          <w:tcPr>
            <w:tcW w:w="6653" w:type="dxa"/>
            <w:shd w:val="clear" w:color="auto" w:fill="auto"/>
          </w:tcPr>
          <w:p w:rsidR="002B5882" w:rsidRPr="00155054" w:rsidRDefault="002B5882" w:rsidP="002B5882">
            <w:pPr>
              <w:pStyle w:val="TableText"/>
              <w:ind w:left="57"/>
              <w:rPr>
                <w:rFonts w:eastAsia="Calibri"/>
              </w:rPr>
            </w:pPr>
            <w:r>
              <w:rPr>
                <w:rFonts w:eastAsia="Calibri"/>
              </w:rPr>
              <w:t>Consumer campaigns and media</w:t>
            </w:r>
          </w:p>
        </w:tc>
        <w:tc>
          <w:tcPr>
            <w:tcW w:w="1414" w:type="dxa"/>
            <w:shd w:val="clear" w:color="auto" w:fill="auto"/>
          </w:tcPr>
          <w:p w:rsidR="002B5882" w:rsidRPr="00155054" w:rsidRDefault="002B5882" w:rsidP="002B5882">
            <w:pPr>
              <w:pStyle w:val="TableText"/>
              <w:jc w:val="center"/>
              <w:rPr>
                <w:rFonts w:eastAsia="Calibri"/>
              </w:rPr>
            </w:pPr>
            <w:r>
              <w:rPr>
                <w:rFonts w:eastAsia="Calibri"/>
              </w:rPr>
              <w:t>1.0</w:t>
            </w:r>
          </w:p>
        </w:tc>
        <w:tc>
          <w:tcPr>
            <w:tcW w:w="1561" w:type="dxa"/>
            <w:shd w:val="clear" w:color="auto" w:fill="auto"/>
          </w:tcPr>
          <w:p w:rsidR="002B5882" w:rsidRPr="00155054" w:rsidRDefault="002B5882" w:rsidP="0081238C">
            <w:pPr>
              <w:pStyle w:val="TableText"/>
              <w:jc w:val="right"/>
              <w:rPr>
                <w:rFonts w:eastAsia="Calibri"/>
              </w:rPr>
            </w:pPr>
            <w:r w:rsidRPr="00155054">
              <w:rPr>
                <w:rFonts w:eastAsia="Calibri"/>
              </w:rPr>
              <w:t>$</w:t>
            </w:r>
            <w:r>
              <w:rPr>
                <w:rFonts w:eastAsia="Calibri"/>
              </w:rPr>
              <w:t>139,561</w:t>
            </w:r>
          </w:p>
        </w:tc>
      </w:tr>
      <w:tr w:rsidR="002B5882" w:rsidRPr="00155054" w:rsidTr="004543C6">
        <w:tc>
          <w:tcPr>
            <w:tcW w:w="6653" w:type="dxa"/>
            <w:shd w:val="clear" w:color="auto" w:fill="auto"/>
          </w:tcPr>
          <w:p w:rsidR="002B5882" w:rsidRPr="00155054" w:rsidRDefault="002B5882" w:rsidP="002B5882">
            <w:pPr>
              <w:pStyle w:val="TableText"/>
              <w:ind w:left="57"/>
              <w:rPr>
                <w:rFonts w:eastAsia="Calibri"/>
              </w:rPr>
            </w:pPr>
            <w:r>
              <w:rPr>
                <w:rFonts w:eastAsia="Calibri"/>
              </w:rPr>
              <w:t>Consumer policy and advocacy</w:t>
            </w:r>
          </w:p>
        </w:tc>
        <w:tc>
          <w:tcPr>
            <w:tcW w:w="1414" w:type="dxa"/>
            <w:shd w:val="clear" w:color="auto" w:fill="auto"/>
          </w:tcPr>
          <w:p w:rsidR="002B5882" w:rsidRPr="00155054" w:rsidRDefault="002B5882" w:rsidP="00822D88">
            <w:pPr>
              <w:pStyle w:val="TableText"/>
              <w:jc w:val="center"/>
              <w:rPr>
                <w:rFonts w:eastAsia="Calibri"/>
              </w:rPr>
            </w:pPr>
            <w:r>
              <w:rPr>
                <w:rFonts w:eastAsia="Calibri"/>
              </w:rPr>
              <w:t>1</w:t>
            </w:r>
            <w:r w:rsidR="00822D88">
              <w:rPr>
                <w:rFonts w:eastAsia="Calibri"/>
              </w:rPr>
              <w:t>.1</w:t>
            </w:r>
          </w:p>
        </w:tc>
        <w:tc>
          <w:tcPr>
            <w:tcW w:w="1561" w:type="dxa"/>
            <w:shd w:val="clear" w:color="auto" w:fill="auto"/>
          </w:tcPr>
          <w:p w:rsidR="002B5882" w:rsidRPr="00155054" w:rsidRDefault="002B5882" w:rsidP="0081238C">
            <w:pPr>
              <w:pStyle w:val="TableText"/>
              <w:jc w:val="right"/>
              <w:rPr>
                <w:rFonts w:eastAsia="Calibri"/>
              </w:rPr>
            </w:pPr>
            <w:r>
              <w:rPr>
                <w:rFonts w:eastAsia="Calibri"/>
              </w:rPr>
              <w:t>$</w:t>
            </w:r>
            <w:r w:rsidR="00822D88">
              <w:rPr>
                <w:rFonts w:eastAsia="Calibri"/>
              </w:rPr>
              <w:t>153,517</w:t>
            </w:r>
          </w:p>
        </w:tc>
      </w:tr>
      <w:tr w:rsidR="002B5882" w:rsidRPr="009B7FF2" w:rsidTr="004543C6">
        <w:tc>
          <w:tcPr>
            <w:tcW w:w="6653" w:type="dxa"/>
            <w:shd w:val="clear" w:color="auto" w:fill="FFFFFF"/>
          </w:tcPr>
          <w:p w:rsidR="002B5882" w:rsidRPr="00155054" w:rsidRDefault="002B5882" w:rsidP="002B5882">
            <w:pPr>
              <w:pStyle w:val="TableText"/>
              <w:rPr>
                <w:rFonts w:eastAsia="Calibri"/>
                <w:b/>
              </w:rPr>
            </w:pPr>
            <w:r w:rsidRPr="00155054">
              <w:rPr>
                <w:rFonts w:eastAsia="Calibri"/>
                <w:b/>
              </w:rPr>
              <w:t>Total</w:t>
            </w:r>
          </w:p>
        </w:tc>
        <w:tc>
          <w:tcPr>
            <w:tcW w:w="1414" w:type="dxa"/>
            <w:shd w:val="clear" w:color="auto" w:fill="FFFFFF"/>
          </w:tcPr>
          <w:p w:rsidR="002B5882" w:rsidRPr="00155054" w:rsidRDefault="002B5882" w:rsidP="002B5882">
            <w:pPr>
              <w:pStyle w:val="TableText"/>
              <w:jc w:val="center"/>
              <w:rPr>
                <w:rFonts w:eastAsia="Calibri"/>
                <w:b/>
              </w:rPr>
            </w:pPr>
          </w:p>
        </w:tc>
        <w:tc>
          <w:tcPr>
            <w:tcW w:w="1561" w:type="dxa"/>
            <w:shd w:val="clear" w:color="auto" w:fill="FFFFFF"/>
          </w:tcPr>
          <w:p w:rsidR="002B5882" w:rsidRPr="009B7FF2" w:rsidRDefault="002B5882" w:rsidP="0081238C">
            <w:pPr>
              <w:pStyle w:val="TableText"/>
              <w:jc w:val="right"/>
              <w:rPr>
                <w:rFonts w:eastAsia="Calibri"/>
                <w:b/>
              </w:rPr>
            </w:pPr>
            <w:r w:rsidRPr="00155054">
              <w:rPr>
                <w:rFonts w:eastAsia="Calibri"/>
                <w:b/>
              </w:rPr>
              <w:t>$</w:t>
            </w:r>
            <w:r w:rsidR="00822D88">
              <w:rPr>
                <w:rFonts w:eastAsia="Calibri"/>
                <w:b/>
              </w:rPr>
              <w:t>7</w:t>
            </w:r>
            <w:r w:rsidR="003A13F7">
              <w:rPr>
                <w:rFonts w:eastAsia="Calibri"/>
                <w:b/>
              </w:rPr>
              <w:t>5</w:t>
            </w:r>
            <w:r w:rsidR="00822D88">
              <w:rPr>
                <w:rFonts w:eastAsia="Calibri"/>
                <w:b/>
              </w:rPr>
              <w:t>7,043</w:t>
            </w:r>
          </w:p>
        </w:tc>
      </w:tr>
    </w:tbl>
    <w:p w:rsidR="00A026EC" w:rsidRPr="00E54DA0" w:rsidRDefault="006C266F" w:rsidP="00A026EC">
      <w:pPr>
        <w:pStyle w:val="Heading3"/>
      </w:pPr>
      <w:bookmarkStart w:id="118" w:name="_Toc465155277"/>
      <w:bookmarkStart w:id="119" w:name="_Toc465156607"/>
      <w:bookmarkStart w:id="120" w:name="_Toc465156749"/>
      <w:bookmarkStart w:id="121" w:name="_Toc468800857"/>
      <w:r>
        <w:t>7</w:t>
      </w:r>
      <w:r w:rsidR="00A026EC">
        <w:t xml:space="preserve">.2 </w:t>
      </w:r>
      <w:r w:rsidR="00A026EC" w:rsidRPr="00433E01">
        <w:t>Travel</w:t>
      </w:r>
      <w:bookmarkEnd w:id="118"/>
      <w:bookmarkEnd w:id="119"/>
      <w:bookmarkEnd w:id="120"/>
      <w:bookmarkEnd w:id="121"/>
    </w:p>
    <w:p w:rsidR="00A026EC" w:rsidRPr="006C750E" w:rsidRDefault="002B5882" w:rsidP="00A026EC">
      <w:pPr>
        <w:pStyle w:val="BodyText"/>
      </w:pPr>
      <w:r>
        <w:t xml:space="preserve">The </w:t>
      </w:r>
      <w:r w:rsidR="00A026EC">
        <w:t xml:space="preserve">CAAP </w:t>
      </w:r>
      <w:r>
        <w:t xml:space="preserve">provider </w:t>
      </w:r>
      <w:r w:rsidR="00A026EC">
        <w:t xml:space="preserve">will have </w:t>
      </w:r>
      <w:r w:rsidR="00A026EC" w:rsidRPr="006C750E">
        <w:t xml:space="preserve">the </w:t>
      </w:r>
      <w:r w:rsidR="00A026EC">
        <w:t>ability</w:t>
      </w:r>
      <w:r w:rsidR="00A026EC" w:rsidRPr="006C750E">
        <w:t xml:space="preserve"> to claim reimbursement for travel expenses </w:t>
      </w:r>
      <w:r>
        <w:t xml:space="preserve">incurred by CAAP Casework workers </w:t>
      </w:r>
      <w:r w:rsidR="00A026EC" w:rsidRPr="006C750E">
        <w:t>for the following activities:</w:t>
      </w:r>
    </w:p>
    <w:p w:rsidR="00A026EC" w:rsidRPr="006C750E" w:rsidRDefault="00A026EC" w:rsidP="0045121C">
      <w:pPr>
        <w:pStyle w:val="ListBullet"/>
      </w:pPr>
      <w:r w:rsidRPr="006C750E">
        <w:t>Travel to and from VCAT</w:t>
      </w:r>
      <w:r>
        <w:t xml:space="preserve"> venues for a consumer’s hearing</w:t>
      </w:r>
    </w:p>
    <w:p w:rsidR="00A026EC" w:rsidRPr="006C750E" w:rsidRDefault="00A026EC" w:rsidP="0045121C">
      <w:pPr>
        <w:pStyle w:val="ListBullet"/>
      </w:pPr>
      <w:r>
        <w:lastRenderedPageBreak/>
        <w:t xml:space="preserve">Travel to and from </w:t>
      </w:r>
      <w:r w:rsidRPr="006C750E">
        <w:t>locations for provision of</w:t>
      </w:r>
      <w:r>
        <w:t xml:space="preserve"> CAAP </w:t>
      </w:r>
      <w:r w:rsidR="009D7E9D">
        <w:t>Casework</w:t>
      </w:r>
    </w:p>
    <w:p w:rsidR="00A026EC" w:rsidRPr="006C750E" w:rsidRDefault="00A026EC" w:rsidP="0045121C">
      <w:pPr>
        <w:pStyle w:val="ListBullet"/>
      </w:pPr>
      <w:r w:rsidRPr="006C750E">
        <w:t>Travel for outreach services</w:t>
      </w:r>
      <w:r>
        <w:t>, and</w:t>
      </w:r>
    </w:p>
    <w:p w:rsidR="00A026EC" w:rsidRPr="006C750E" w:rsidRDefault="00A026EC" w:rsidP="0045121C">
      <w:pPr>
        <w:pStyle w:val="ListBullet"/>
      </w:pPr>
      <w:r w:rsidRPr="006C750E">
        <w:t>Travel to and from professional development sessions.</w:t>
      </w:r>
    </w:p>
    <w:p w:rsidR="00A026EC" w:rsidRPr="00E54DA0" w:rsidRDefault="00A026EC" w:rsidP="00A026EC">
      <w:pPr>
        <w:pStyle w:val="BodyText"/>
      </w:pPr>
      <w:r w:rsidRPr="006C750E">
        <w:t xml:space="preserve">The travel rate </w:t>
      </w:r>
      <w:r>
        <w:t xml:space="preserve">for 2017-18 </w:t>
      </w:r>
      <w:r w:rsidRPr="00744044">
        <w:t>is 76 cent</w:t>
      </w:r>
      <w:r>
        <w:t>s per</w:t>
      </w:r>
      <w:r w:rsidRPr="00744044">
        <w:t xml:space="preserve"> kilometre</w:t>
      </w:r>
      <w:r>
        <w:t xml:space="preserve">, with the </w:t>
      </w:r>
      <w:r w:rsidR="009F56F7">
        <w:t xml:space="preserve">maximum </w:t>
      </w:r>
      <w:r>
        <w:t xml:space="preserve">amount claimable per year for CAAP </w:t>
      </w:r>
      <w:r w:rsidR="009D7E9D">
        <w:t>Casework</w:t>
      </w:r>
      <w:r>
        <w:t xml:space="preserve"> of $2,500 per FTE.</w:t>
      </w:r>
    </w:p>
    <w:p w:rsidR="00A026EC" w:rsidRPr="006C750E" w:rsidRDefault="00A026EC" w:rsidP="00A026EC">
      <w:pPr>
        <w:pStyle w:val="BodyText"/>
      </w:pPr>
      <w:r>
        <w:t xml:space="preserve">The CAAP provider will be required to </w:t>
      </w:r>
      <w:r w:rsidRPr="006C750E">
        <w:t>submit the travel amount being claimed each quarter.</w:t>
      </w:r>
      <w:r>
        <w:t xml:space="preserve"> </w:t>
      </w:r>
      <w:r w:rsidRPr="006C750E">
        <w:t>CAV will pay travel reimbursements in August</w:t>
      </w:r>
      <w:r>
        <w:t>, following the end of the financial year in which the travel was undertaken</w:t>
      </w:r>
      <w:r w:rsidRPr="006C750E">
        <w:t>.</w:t>
      </w:r>
    </w:p>
    <w:p w:rsidR="00A026EC" w:rsidRPr="00EA530C" w:rsidRDefault="006C266F" w:rsidP="00A026EC">
      <w:pPr>
        <w:pStyle w:val="Heading3"/>
      </w:pPr>
      <w:bookmarkStart w:id="122" w:name="_Toc465155278"/>
      <w:bookmarkStart w:id="123" w:name="_Toc465156608"/>
      <w:bookmarkStart w:id="124" w:name="_Toc465156750"/>
      <w:bookmarkStart w:id="125" w:name="_Toc468800858"/>
      <w:r>
        <w:t>7</w:t>
      </w:r>
      <w:r w:rsidR="00A026EC">
        <w:t>.</w:t>
      </w:r>
      <w:r>
        <w:t>3</w:t>
      </w:r>
      <w:r w:rsidR="00A026EC">
        <w:t xml:space="preserve"> Interpreting s</w:t>
      </w:r>
      <w:r w:rsidR="00A026EC" w:rsidRPr="00EA530C">
        <w:t>ervices</w:t>
      </w:r>
      <w:bookmarkEnd w:id="122"/>
      <w:bookmarkEnd w:id="123"/>
      <w:bookmarkEnd w:id="124"/>
      <w:bookmarkEnd w:id="125"/>
    </w:p>
    <w:p w:rsidR="00A026EC" w:rsidRPr="00D736E0" w:rsidRDefault="003F2061" w:rsidP="00A026EC">
      <w:pPr>
        <w:pStyle w:val="BodyText"/>
      </w:pPr>
      <w:r>
        <w:t xml:space="preserve">The </w:t>
      </w:r>
      <w:r w:rsidR="00A026EC" w:rsidRPr="00D736E0">
        <w:t xml:space="preserve">CAAP </w:t>
      </w:r>
      <w:r>
        <w:t>provider</w:t>
      </w:r>
      <w:r w:rsidR="00A026EC" w:rsidRPr="00D736E0">
        <w:t xml:space="preserve"> will have access to interpreting services </w:t>
      </w:r>
      <w:r w:rsidR="00E61786" w:rsidRPr="00E61786">
        <w:t xml:space="preserve">if required for communicating with </w:t>
      </w:r>
      <w:r w:rsidR="00E61786">
        <w:t>clients</w:t>
      </w:r>
      <w:r w:rsidR="00E61786" w:rsidRPr="00E61786">
        <w:t xml:space="preserve"> with limited English proficiency. </w:t>
      </w:r>
      <w:r w:rsidR="00E61786" w:rsidRPr="009D08B5">
        <w:t>Interpreting</w:t>
      </w:r>
      <w:r w:rsidR="00E61786">
        <w:t xml:space="preserve"> costs are</w:t>
      </w:r>
      <w:r w:rsidR="00E61786" w:rsidRPr="009D08B5">
        <w:t xml:space="preserve"> funded directly by CAV.</w:t>
      </w:r>
    </w:p>
    <w:p w:rsidR="00A026EC" w:rsidRDefault="00A026EC" w:rsidP="00A026EC">
      <w:pPr>
        <w:pStyle w:val="BodyText"/>
      </w:pPr>
      <w:r w:rsidRPr="009D08B5">
        <w:t xml:space="preserve">The </w:t>
      </w:r>
      <w:r w:rsidR="00B576E8">
        <w:t>CAAP provider will be able to use</w:t>
      </w:r>
      <w:r w:rsidR="009F56F7" w:rsidRPr="009D08B5">
        <w:t xml:space="preserve"> </w:t>
      </w:r>
      <w:r w:rsidR="00FD2A88">
        <w:t xml:space="preserve">either </w:t>
      </w:r>
      <w:r w:rsidRPr="009D08B5">
        <w:t>Victorian Interpreting an</w:t>
      </w:r>
      <w:r w:rsidR="00B576E8">
        <w:t>d Translations Services (VITS) or</w:t>
      </w:r>
      <w:r w:rsidR="009D08B5">
        <w:rPr>
          <w:color w:val="000000"/>
        </w:rPr>
        <w:t xml:space="preserve"> Translation and Interpreting Services (TIS). </w:t>
      </w:r>
      <w:r w:rsidR="00EE0EEE">
        <w:t>The</w:t>
      </w:r>
      <w:r w:rsidR="00EE0EEE" w:rsidRPr="006C750E">
        <w:t xml:space="preserve"> </w:t>
      </w:r>
      <w:r w:rsidR="00EE0EEE">
        <w:t>CAAP provider</w:t>
      </w:r>
      <w:r w:rsidR="00EE0EEE" w:rsidRPr="006C750E">
        <w:t xml:space="preserve"> will be </w:t>
      </w:r>
      <w:r w:rsidR="00EE0EEE">
        <w:t>provided with</w:t>
      </w:r>
      <w:r w:rsidR="00EE0EEE" w:rsidRPr="006C750E">
        <w:t xml:space="preserve"> a</w:t>
      </w:r>
      <w:r w:rsidR="00EE0EEE">
        <w:t>n access code for the services</w:t>
      </w:r>
      <w:r w:rsidR="00EE0EEE" w:rsidRPr="006C750E">
        <w:t>.</w:t>
      </w:r>
    </w:p>
    <w:p w:rsidR="001C78EE" w:rsidRPr="00EA530C" w:rsidRDefault="006C266F" w:rsidP="001C78EE">
      <w:pPr>
        <w:pStyle w:val="Heading3"/>
      </w:pPr>
      <w:bookmarkStart w:id="126" w:name="_Toc468800859"/>
      <w:r>
        <w:t>7.4</w:t>
      </w:r>
      <w:r w:rsidR="001C78EE">
        <w:t xml:space="preserve"> Disbursements</w:t>
      </w:r>
      <w:bookmarkEnd w:id="126"/>
    </w:p>
    <w:p w:rsidR="001C78EE" w:rsidRDefault="001C78EE" w:rsidP="001C78EE">
      <w:pPr>
        <w:pStyle w:val="BodyText"/>
      </w:pPr>
      <w:r w:rsidRPr="00500386">
        <w:t>The CAAP provider w</w:t>
      </w:r>
      <w:r w:rsidR="00E44574">
        <w:t>ill</w:t>
      </w:r>
      <w:r w:rsidRPr="00500386">
        <w:t xml:space="preserve"> be expected to cover </w:t>
      </w:r>
      <w:r w:rsidR="00500386">
        <w:t>the cost of expert reports and A</w:t>
      </w:r>
      <w:r w:rsidR="00FE5470">
        <w:t>ustralian Securities and Investment Commission</w:t>
      </w:r>
      <w:r w:rsidR="00500386">
        <w:t xml:space="preserve"> documents required for casework that proceeds to VCAT.</w:t>
      </w:r>
    </w:p>
    <w:p w:rsidR="006C266F" w:rsidRPr="00DD2C27" w:rsidRDefault="006C266F" w:rsidP="006C266F">
      <w:pPr>
        <w:pStyle w:val="Heading3"/>
      </w:pPr>
      <w:bookmarkStart w:id="127" w:name="_Toc468800860"/>
      <w:r>
        <w:t xml:space="preserve">7.5 </w:t>
      </w:r>
      <w:r w:rsidRPr="00DD2C27">
        <w:t>Funding agreement</w:t>
      </w:r>
      <w:bookmarkEnd w:id="127"/>
    </w:p>
    <w:p w:rsidR="006C266F" w:rsidRPr="0029003B" w:rsidRDefault="006C266F" w:rsidP="006C266F">
      <w:pPr>
        <w:pStyle w:val="BodyText"/>
      </w:pPr>
      <w:r w:rsidRPr="0029003B">
        <w:t xml:space="preserve">To receive </w:t>
      </w:r>
      <w:r>
        <w:t>CAAP</w:t>
      </w:r>
      <w:r w:rsidRPr="0029003B">
        <w:t xml:space="preserve"> funding, </w:t>
      </w:r>
      <w:r>
        <w:t>an organisation</w:t>
      </w:r>
      <w:r w:rsidRPr="0029003B">
        <w:t xml:space="preserve"> must enter a formal funding agreement with CAV in the form of the Victorian Common Funding Agreement.</w:t>
      </w:r>
    </w:p>
    <w:p w:rsidR="00492753" w:rsidRDefault="006C266F" w:rsidP="006C266F">
      <w:pPr>
        <w:pStyle w:val="BodyText"/>
      </w:pPr>
      <w:r w:rsidRPr="0029003B">
        <w:t xml:space="preserve">The standard terms and conditions of this agreement are not negotiable. </w:t>
      </w:r>
      <w:r>
        <w:t>These terms are</w:t>
      </w:r>
      <w:r w:rsidRPr="00544FA5">
        <w:t xml:space="preserve"> available on the </w:t>
      </w:r>
      <w:hyperlink r:id="rId10" w:history="1">
        <w:r w:rsidR="00492753">
          <w:rPr>
            <w:rStyle w:val="Hyperlink"/>
          </w:rPr>
          <w:t>Victorian</w:t>
        </w:r>
        <w:r w:rsidR="00492753">
          <w:rPr>
            <w:rStyle w:val="Hyperlink"/>
          </w:rPr>
          <w:t xml:space="preserve"> </w:t>
        </w:r>
        <w:r w:rsidR="00492753">
          <w:rPr>
            <w:rStyle w:val="Hyperlink"/>
          </w:rPr>
          <w:t>Common Funding Agreement page on the DHHS website</w:t>
        </w:r>
      </w:hyperlink>
      <w:r w:rsidR="00492753">
        <w:t xml:space="preserve"> (</w:t>
      </w:r>
      <w:bookmarkStart w:id="128" w:name="_GoBack"/>
      <w:r w:rsidR="00492753" w:rsidRPr="00492753">
        <w:t>http://www.dhs.vic.gov.au/for-business-and-community/not-for-profit-organisations/common-funding-agreement</w:t>
      </w:r>
      <w:bookmarkEnd w:id="128"/>
      <w:r w:rsidR="00492753">
        <w:t>).</w:t>
      </w:r>
    </w:p>
    <w:p w:rsidR="006C266F" w:rsidRPr="0029003B" w:rsidRDefault="006C266F" w:rsidP="006C266F">
      <w:pPr>
        <w:pStyle w:val="BodyText"/>
      </w:pPr>
      <w:r>
        <w:t>A schedule to the funding agreement, describing the funded activities, milestones and reporting requirements, will be developed by CAV in consultation with the preferred CAAP provider on the basis of its response to this RFS.</w:t>
      </w:r>
    </w:p>
    <w:p w:rsidR="006C266F" w:rsidRPr="0029003B" w:rsidRDefault="006C266F" w:rsidP="006C266F">
      <w:pPr>
        <w:pStyle w:val="BodyText"/>
      </w:pPr>
      <w:r w:rsidRPr="0029003B">
        <w:t xml:space="preserve">The funding agreement </w:t>
      </w:r>
      <w:r>
        <w:t>will incorporate</w:t>
      </w:r>
      <w:r w:rsidRPr="0029003B">
        <w:t xml:space="preserve"> the service delivery requirements</w:t>
      </w:r>
      <w:r w:rsidRPr="0029003B" w:rsidDel="006872C9">
        <w:t xml:space="preserve"> </w:t>
      </w:r>
      <w:r w:rsidRPr="0029003B">
        <w:t xml:space="preserve">contained in this </w:t>
      </w:r>
      <w:r>
        <w:t>RFS</w:t>
      </w:r>
      <w:r w:rsidR="00670D90">
        <w:t>.</w:t>
      </w:r>
    </w:p>
    <w:p w:rsidR="006C266F" w:rsidRPr="00272708" w:rsidRDefault="006C266F" w:rsidP="006C266F">
      <w:pPr>
        <w:pStyle w:val="Heading3"/>
      </w:pPr>
      <w:bookmarkStart w:id="129" w:name="_Toc464809962"/>
      <w:bookmarkStart w:id="130" w:name="_Toc465177449"/>
      <w:bookmarkStart w:id="131" w:name="_Toc466555145"/>
      <w:bookmarkStart w:id="132" w:name="_Toc468800861"/>
      <w:r>
        <w:t xml:space="preserve">7.6 </w:t>
      </w:r>
      <w:r w:rsidRPr="00272708">
        <w:t>Payments</w:t>
      </w:r>
      <w:bookmarkEnd w:id="129"/>
      <w:bookmarkEnd w:id="130"/>
      <w:bookmarkEnd w:id="131"/>
      <w:bookmarkEnd w:id="132"/>
    </w:p>
    <w:p w:rsidR="006C266F" w:rsidRPr="0029003B" w:rsidRDefault="006C266F" w:rsidP="006C266F">
      <w:pPr>
        <w:pStyle w:val="BodyText"/>
      </w:pPr>
      <w:r w:rsidRPr="0029003B">
        <w:t xml:space="preserve">Funding payments will be made on a quarterly basis upon CAV’s acceptance that the </w:t>
      </w:r>
      <w:r>
        <w:t>CAAP provider</w:t>
      </w:r>
      <w:r w:rsidRPr="0029003B">
        <w:t xml:space="preserve"> is meeting its </w:t>
      </w:r>
      <w:r>
        <w:t>obligations</w:t>
      </w:r>
      <w:r w:rsidRPr="0029003B">
        <w:t xml:space="preserve"> under the funding agreement including:</w:t>
      </w:r>
    </w:p>
    <w:p w:rsidR="006C266F" w:rsidRPr="009B7FF2" w:rsidRDefault="006C266F" w:rsidP="0045121C">
      <w:pPr>
        <w:pStyle w:val="ListBullet"/>
      </w:pPr>
      <w:r w:rsidRPr="009B7FF2">
        <w:t>complying with reporting requirements</w:t>
      </w:r>
    </w:p>
    <w:p w:rsidR="006C266F" w:rsidRPr="009B7FF2" w:rsidRDefault="006C266F" w:rsidP="0045121C">
      <w:pPr>
        <w:pStyle w:val="ListBullet"/>
      </w:pPr>
      <w:r w:rsidRPr="009B7FF2">
        <w:t>delivering</w:t>
      </w:r>
      <w:r w:rsidR="00670D90">
        <w:t xml:space="preserve"> the required service to a high quality standard</w:t>
      </w:r>
      <w:r w:rsidRPr="009B7FF2">
        <w:t>, and</w:t>
      </w:r>
    </w:p>
    <w:p w:rsidR="006C266F" w:rsidRPr="009B7FF2" w:rsidRDefault="006C266F" w:rsidP="0045121C">
      <w:pPr>
        <w:pStyle w:val="ListBullet"/>
      </w:pPr>
      <w:r w:rsidRPr="009B7FF2">
        <w:lastRenderedPageBreak/>
        <w:t>meeting other service delivery requirements contained in this RFS and the funding agreement.</w:t>
      </w:r>
    </w:p>
    <w:p w:rsidR="00670D90" w:rsidRDefault="00670D90" w:rsidP="006C266F">
      <w:pPr>
        <w:pStyle w:val="BodyText"/>
      </w:pPr>
      <w:r w:rsidRPr="0029003B">
        <w:t>Failure to meet the service delivery requirements will constitute a breach of the funding agreement and may result in CAV reducing or withholding payments</w:t>
      </w:r>
      <w:r>
        <w:t>.</w:t>
      </w:r>
    </w:p>
    <w:p w:rsidR="006C266F" w:rsidRPr="0029003B" w:rsidRDefault="006C266F" w:rsidP="006C266F">
      <w:pPr>
        <w:pStyle w:val="BodyText"/>
      </w:pPr>
      <w:r>
        <w:t xml:space="preserve">All payments will be </w:t>
      </w:r>
      <w:r w:rsidRPr="0029003B">
        <w:t>made via electronic funds transfer</w:t>
      </w:r>
      <w:r>
        <w:t xml:space="preserve"> to the bank account nominated in the funding agreement</w:t>
      </w:r>
      <w:r w:rsidRPr="0029003B">
        <w:t>.</w:t>
      </w:r>
    </w:p>
    <w:p w:rsidR="00A026EC" w:rsidRPr="005F3817" w:rsidRDefault="006C266F" w:rsidP="00A026EC">
      <w:pPr>
        <w:pStyle w:val="Heading2"/>
      </w:pPr>
      <w:bookmarkStart w:id="133" w:name="_Toc464809960"/>
      <w:bookmarkStart w:id="134" w:name="_Toc465177447"/>
      <w:bookmarkStart w:id="135" w:name="_Toc466555143"/>
      <w:bookmarkStart w:id="136" w:name="_Toc468800862"/>
      <w:r>
        <w:t>8</w:t>
      </w:r>
      <w:r w:rsidR="00A026EC">
        <w:t>. Performance monitoring f</w:t>
      </w:r>
      <w:r w:rsidR="00A026EC" w:rsidRPr="005F3817">
        <w:t>ramework</w:t>
      </w:r>
      <w:bookmarkEnd w:id="133"/>
      <w:bookmarkEnd w:id="134"/>
      <w:bookmarkEnd w:id="135"/>
      <w:bookmarkEnd w:id="136"/>
    </w:p>
    <w:p w:rsidR="00A026EC" w:rsidRDefault="00A026EC" w:rsidP="00A026EC">
      <w:pPr>
        <w:pStyle w:val="BodyText"/>
      </w:pPr>
      <w:r>
        <w:t xml:space="preserve">The CAAP must be delivered in a timely and efficient manner using a standard of care and skill that would reasonably be expected from an expert and experienced provider of the services. CAV will not pay for services </w:t>
      </w:r>
      <w:r w:rsidR="0081238C">
        <w:t>that do not meet this standard.</w:t>
      </w:r>
    </w:p>
    <w:p w:rsidR="00A026EC" w:rsidRPr="0029003B" w:rsidRDefault="00A026EC" w:rsidP="00A026EC">
      <w:pPr>
        <w:pStyle w:val="BodyText"/>
      </w:pPr>
      <w:r>
        <w:t>The C</w:t>
      </w:r>
      <w:r w:rsidR="00FA2E53">
        <w:t>AAP</w:t>
      </w:r>
      <w:r w:rsidRPr="0029003B">
        <w:t xml:space="preserve"> </w:t>
      </w:r>
      <w:r>
        <w:t xml:space="preserve">must comply with the </w:t>
      </w:r>
      <w:r w:rsidRPr="0029003B">
        <w:t>performance monitoring framework, which includes:</w:t>
      </w:r>
    </w:p>
    <w:p w:rsidR="00A026EC" w:rsidRPr="009B7FF2" w:rsidRDefault="00C7603B" w:rsidP="0045121C">
      <w:pPr>
        <w:pStyle w:val="ListBullet"/>
      </w:pPr>
      <w:r>
        <w:t>providing</w:t>
      </w:r>
      <w:r w:rsidR="00A026EC">
        <w:t xml:space="preserve"> </w:t>
      </w:r>
      <w:r w:rsidR="0081238C">
        <w:t>an annual work-plan</w:t>
      </w:r>
    </w:p>
    <w:p w:rsidR="00A026EC" w:rsidRDefault="00C7603B" w:rsidP="0045121C">
      <w:pPr>
        <w:pStyle w:val="ListBullet"/>
      </w:pPr>
      <w:r>
        <w:t>providing</w:t>
      </w:r>
      <w:r w:rsidR="00A026EC">
        <w:t xml:space="preserve"> </w:t>
      </w:r>
      <w:r w:rsidR="00A026EC" w:rsidRPr="009B7FF2">
        <w:t>a six-monthly narrative and training report</w:t>
      </w:r>
    </w:p>
    <w:p w:rsidR="00A026EC" w:rsidRDefault="00FE5470" w:rsidP="0045121C">
      <w:pPr>
        <w:pStyle w:val="ListBullet"/>
      </w:pPr>
      <w:r>
        <w:t>collect</w:t>
      </w:r>
      <w:r w:rsidR="00C7603B">
        <w:t>ing</w:t>
      </w:r>
      <w:r>
        <w:t xml:space="preserve"> and </w:t>
      </w:r>
      <w:r w:rsidR="00C7603B">
        <w:t>submitting</w:t>
      </w:r>
      <w:r>
        <w:t xml:space="preserve"> CAAP </w:t>
      </w:r>
      <w:r w:rsidR="009D7E9D">
        <w:t>Casework</w:t>
      </w:r>
      <w:r>
        <w:t xml:space="preserve"> service </w:t>
      </w:r>
      <w:r w:rsidR="0081238C">
        <w:t>data quarterly</w:t>
      </w:r>
    </w:p>
    <w:p w:rsidR="00C7603B" w:rsidRPr="009B7FF2" w:rsidRDefault="00C7603B" w:rsidP="0045121C">
      <w:pPr>
        <w:pStyle w:val="ListBullet"/>
      </w:pPr>
      <w:r>
        <w:t>providing the organisation’s complaints policy</w:t>
      </w:r>
    </w:p>
    <w:p w:rsidR="00A026EC" w:rsidRPr="009B7FF2" w:rsidRDefault="00C7603B" w:rsidP="0045121C">
      <w:pPr>
        <w:pStyle w:val="ListBullet"/>
      </w:pPr>
      <w:r>
        <w:t>providing</w:t>
      </w:r>
      <w:r w:rsidR="00A026EC" w:rsidRPr="009B7FF2">
        <w:t xml:space="preserve"> an annual acquittal certificate</w:t>
      </w:r>
    </w:p>
    <w:p w:rsidR="00A026EC" w:rsidRPr="009B7FF2" w:rsidRDefault="00C7603B" w:rsidP="0045121C">
      <w:pPr>
        <w:pStyle w:val="ListBullet"/>
      </w:pPr>
      <w:r>
        <w:t>providing</w:t>
      </w:r>
      <w:r w:rsidR="00A026EC">
        <w:t xml:space="preserve"> </w:t>
      </w:r>
      <w:r w:rsidR="00A026EC" w:rsidRPr="009B7FF2">
        <w:t>a copy of the organisation’s annual report with audited financial statement, and</w:t>
      </w:r>
    </w:p>
    <w:p w:rsidR="00A026EC" w:rsidRPr="009B7FF2" w:rsidRDefault="00670D90" w:rsidP="0045121C">
      <w:pPr>
        <w:pStyle w:val="ListBullet"/>
      </w:pPr>
      <w:r>
        <w:t xml:space="preserve">otherwise </w:t>
      </w:r>
      <w:r w:rsidR="00A026EC">
        <w:t>comply</w:t>
      </w:r>
      <w:r w:rsidR="00C7603B">
        <w:t>ing</w:t>
      </w:r>
      <w:r w:rsidR="00A026EC">
        <w:t xml:space="preserve"> with the CAAP</w:t>
      </w:r>
      <w:r w:rsidR="00A026EC" w:rsidRPr="009B7FF2">
        <w:t xml:space="preserve"> funding agreement.</w:t>
      </w:r>
    </w:p>
    <w:p w:rsidR="00670D90" w:rsidRPr="006C750E" w:rsidRDefault="00670D90" w:rsidP="00670D90">
      <w:pPr>
        <w:pStyle w:val="BodyText"/>
      </w:pPr>
      <w:bookmarkStart w:id="137" w:name="_Toc464809961"/>
      <w:bookmarkStart w:id="138" w:name="_Toc465177448"/>
      <w:bookmarkStart w:id="139" w:name="_Toc466555144"/>
      <w:r w:rsidRPr="006C750E">
        <w:t>All reports must be provided in the prescribed format and within the required timelines.</w:t>
      </w:r>
      <w:r>
        <w:t xml:space="preserve"> Any data reporting will need to use the data-set advised by CAV. </w:t>
      </w:r>
      <w:r w:rsidRPr="006C750E">
        <w:t xml:space="preserve">CAV does not require any specific database to be used for data collection, however </w:t>
      </w:r>
      <w:r>
        <w:t>the CAAP Casework data</w:t>
      </w:r>
      <w:r w:rsidRPr="006C750E">
        <w:t xml:space="preserve"> must be able to </w:t>
      </w:r>
      <w:r>
        <w:t xml:space="preserve">be </w:t>
      </w:r>
      <w:r w:rsidRPr="006C750E">
        <w:t>upload</w:t>
      </w:r>
      <w:r>
        <w:t>ed</w:t>
      </w:r>
      <w:r w:rsidRPr="006C750E">
        <w:t xml:space="preserve"> to the </w:t>
      </w:r>
      <w:r>
        <w:t>CAV F</w:t>
      </w:r>
      <w:r w:rsidRPr="006C750E">
        <w:t xml:space="preserve">unded </w:t>
      </w:r>
      <w:r>
        <w:t>S</w:t>
      </w:r>
      <w:r w:rsidRPr="006C750E">
        <w:t>ervices data portal</w:t>
      </w:r>
      <w:r w:rsidRPr="00EE3F8C">
        <w:t xml:space="preserve"> </w:t>
      </w:r>
      <w:r w:rsidRPr="006C750E">
        <w:t>in a C</w:t>
      </w:r>
      <w:r>
        <w:t xml:space="preserve">omma-Separated </w:t>
      </w:r>
      <w:r w:rsidRPr="006C750E">
        <w:t>V</w:t>
      </w:r>
      <w:r>
        <w:t>alues (CSV)</w:t>
      </w:r>
      <w:r w:rsidRPr="006C750E">
        <w:t xml:space="preserve"> format.</w:t>
      </w:r>
    </w:p>
    <w:p w:rsidR="00A026EC" w:rsidRDefault="00A026EC" w:rsidP="00A026EC">
      <w:pPr>
        <w:pStyle w:val="BodyText"/>
      </w:pPr>
      <w:r>
        <w:t>At</w:t>
      </w:r>
      <w:r w:rsidRPr="006C750E">
        <w:t xml:space="preserve"> CAV’s discretion</w:t>
      </w:r>
      <w:r>
        <w:t>, p</w:t>
      </w:r>
      <w:r w:rsidRPr="006C750E">
        <w:t>erformance monitoring may al</w:t>
      </w:r>
      <w:r w:rsidR="00FE5470">
        <w:t xml:space="preserve">so include occasional visits to the CAAP </w:t>
      </w:r>
      <w:r w:rsidRPr="006C750E">
        <w:t xml:space="preserve">by CAV </w:t>
      </w:r>
      <w:r w:rsidR="0098322C">
        <w:t xml:space="preserve">or Department of Justice and Regulation </w:t>
      </w:r>
      <w:r w:rsidRPr="006C750E">
        <w:t>staff to discuss service delivery.</w:t>
      </w:r>
    </w:p>
    <w:p w:rsidR="00A026EC" w:rsidRPr="006C750E" w:rsidRDefault="00A026EC" w:rsidP="00A026EC">
      <w:pPr>
        <w:pStyle w:val="BodyText"/>
      </w:pPr>
      <w:r w:rsidRPr="006C750E">
        <w:t>If requeste</w:t>
      </w:r>
      <w:r>
        <w:t xml:space="preserve">d by CAV, </w:t>
      </w:r>
      <w:r w:rsidR="00FA2E53">
        <w:t>the CAAP provider</w:t>
      </w:r>
      <w:r>
        <w:t xml:space="preserve"> may be required to conduct or otherwise assist with </w:t>
      </w:r>
      <w:r w:rsidRPr="006C750E">
        <w:t xml:space="preserve">a client satisfaction survey. </w:t>
      </w:r>
      <w:r>
        <w:t xml:space="preserve">In this event, </w:t>
      </w:r>
      <w:r w:rsidRPr="006C750E">
        <w:t xml:space="preserve">CAV will consult </w:t>
      </w:r>
      <w:r w:rsidR="00FE5470">
        <w:t xml:space="preserve">with the CAAP provider </w:t>
      </w:r>
      <w:r w:rsidRPr="006C750E">
        <w:t>in the develo</w:t>
      </w:r>
      <w:r w:rsidR="0081238C">
        <w:t>pment and design of the survey.</w:t>
      </w:r>
    </w:p>
    <w:p w:rsidR="00A026EC" w:rsidRDefault="006C266F" w:rsidP="00A026EC">
      <w:pPr>
        <w:pStyle w:val="Heading2"/>
      </w:pPr>
      <w:bookmarkStart w:id="140" w:name="_Toc465939311"/>
      <w:bookmarkStart w:id="141" w:name="_Toc466555146"/>
      <w:bookmarkStart w:id="142" w:name="_Toc468800863"/>
      <w:bookmarkStart w:id="143" w:name="_Toc464809963"/>
      <w:bookmarkStart w:id="144" w:name="_Toc465177450"/>
      <w:bookmarkEnd w:id="137"/>
      <w:bookmarkEnd w:id="138"/>
      <w:bookmarkEnd w:id="139"/>
      <w:r>
        <w:t>9</w:t>
      </w:r>
      <w:r w:rsidR="00A026EC">
        <w:t>. Making an application</w:t>
      </w:r>
      <w:bookmarkEnd w:id="140"/>
      <w:bookmarkEnd w:id="141"/>
      <w:bookmarkEnd w:id="142"/>
    </w:p>
    <w:p w:rsidR="00A026EC" w:rsidRPr="0023264A" w:rsidRDefault="00A026EC" w:rsidP="0049046A">
      <w:pPr>
        <w:pStyle w:val="ListBullet2"/>
        <w:numPr>
          <w:ilvl w:val="0"/>
          <w:numId w:val="0"/>
        </w:numPr>
      </w:pPr>
      <w:r>
        <w:t xml:space="preserve">Information on how </w:t>
      </w:r>
      <w:r w:rsidRPr="0023264A">
        <w:t xml:space="preserve">to respond to this RFS is provided in the </w:t>
      </w:r>
      <w:hyperlink r:id="rId11" w:history="1">
        <w:r w:rsidR="0049046A" w:rsidRPr="007868CE">
          <w:rPr>
            <w:rStyle w:val="Hyperlink"/>
          </w:rPr>
          <w:t>CAAP Application Guide (Word, 58KB)</w:t>
        </w:r>
      </w:hyperlink>
      <w:r w:rsidR="0049046A">
        <w:t xml:space="preserve"> (</w:t>
      </w:r>
      <w:r w:rsidR="0049046A" w:rsidRPr="0089775B">
        <w:t>https://www.consumer.vic.gov.au/library/</w:t>
      </w:r>
      <w:r w:rsidR="0049046A">
        <w:t>forms</w:t>
      </w:r>
      <w:r w:rsidR="0049046A" w:rsidRPr="0089775B">
        <w:t>/clubs-and-not-for-profits/grants/</w:t>
      </w:r>
      <w:r w:rsidR="0049046A" w:rsidRPr="007868CE">
        <w:t>caap-appl</w:t>
      </w:r>
      <w:r w:rsidR="0049046A">
        <w:t>ication-guide-2017-21.docx)</w:t>
      </w:r>
      <w:r w:rsidRPr="00846471">
        <w:rPr>
          <w:shd w:val="clear" w:color="auto" w:fill="FFFFFF" w:themeFill="background1"/>
        </w:rPr>
        <w:t xml:space="preserve">. </w:t>
      </w:r>
      <w:r w:rsidRPr="0023264A">
        <w:t>This includes important information, including the application deadline and other significant dates.</w:t>
      </w:r>
    </w:p>
    <w:p w:rsidR="00A026EC" w:rsidRPr="0049046A" w:rsidRDefault="00A026EC" w:rsidP="0049046A">
      <w:pPr>
        <w:pStyle w:val="ListBullet2"/>
        <w:numPr>
          <w:ilvl w:val="0"/>
          <w:numId w:val="0"/>
        </w:numPr>
      </w:pPr>
      <w:r w:rsidRPr="00BE7A2A">
        <w:rPr>
          <w:shd w:val="clear" w:color="auto" w:fill="FFFFFF" w:themeFill="background1"/>
        </w:rPr>
        <w:t>Responses to this RFS must be submitted using the template provided:</w:t>
      </w:r>
      <w:r w:rsidRPr="00BF72FA">
        <w:t xml:space="preserve"> </w:t>
      </w:r>
      <w:hyperlink r:id="rId12" w:history="1">
        <w:r w:rsidR="0049046A" w:rsidRPr="00E23C67">
          <w:rPr>
            <w:rStyle w:val="Hyperlink"/>
          </w:rPr>
          <w:t>CAAP Application – Response to Request for Service (Word, 174KB)</w:t>
        </w:r>
      </w:hyperlink>
      <w:r w:rsidR="0049046A" w:rsidRPr="00E23C67">
        <w:t xml:space="preserve"> </w:t>
      </w:r>
      <w:r w:rsidR="0049046A" w:rsidRPr="00E23C67">
        <w:lastRenderedPageBreak/>
        <w:t>(https://www.consumer.vic.gov.au/library/forms/clubs-and-not-for-profits/grants/caap-application-response-to-request-for-service-2017-21.doc)</w:t>
      </w:r>
      <w:r w:rsidR="00D8117F">
        <w:t>.</w:t>
      </w:r>
    </w:p>
    <w:p w:rsidR="00A026EC" w:rsidRPr="0023264A" w:rsidRDefault="00A026EC" w:rsidP="00A026EC">
      <w:pPr>
        <w:pStyle w:val="BodyText"/>
      </w:pPr>
      <w:r w:rsidRPr="0023264A">
        <w:t xml:space="preserve">If your </w:t>
      </w:r>
      <w:r>
        <w:t>organisation</w:t>
      </w:r>
      <w:r w:rsidRPr="0023264A">
        <w:t xml:space="preserve"> intends to submit an application, please register your interest by sending an email to </w:t>
      </w:r>
      <w:hyperlink r:id="rId13" w:history="1">
        <w:r w:rsidRPr="0023264A">
          <w:rPr>
            <w:rStyle w:val="Hyperlink"/>
          </w:rPr>
          <w:t>fundedservices@justice.vic.gov.au</w:t>
        </w:r>
      </w:hyperlink>
      <w:r>
        <w:t xml:space="preserve"> using the subject line </w:t>
      </w:r>
      <w:r w:rsidR="00076EB8">
        <w:t>‘</w:t>
      </w:r>
      <w:r>
        <w:t>CAAP</w:t>
      </w:r>
      <w:r w:rsidRPr="0023264A">
        <w:t xml:space="preserve"> &lt;your </w:t>
      </w:r>
      <w:r>
        <w:t>organisation</w:t>
      </w:r>
      <w:r w:rsidR="00076EB8">
        <w:t xml:space="preserve"> name&gt; - RFS notices’</w:t>
      </w:r>
    </w:p>
    <w:p w:rsidR="00A026EC" w:rsidRPr="00A8602C" w:rsidRDefault="006C266F" w:rsidP="00A026EC">
      <w:pPr>
        <w:pStyle w:val="Heading2"/>
      </w:pPr>
      <w:bookmarkStart w:id="145" w:name="_Toc466555147"/>
      <w:bookmarkStart w:id="146" w:name="_Toc468800864"/>
      <w:r>
        <w:t>10</w:t>
      </w:r>
      <w:r w:rsidR="00A026EC">
        <w:t>. Contact d</w:t>
      </w:r>
      <w:r w:rsidR="00A026EC" w:rsidRPr="00A8602C">
        <w:t>etails</w:t>
      </w:r>
      <w:bookmarkEnd w:id="143"/>
      <w:bookmarkEnd w:id="144"/>
      <w:bookmarkEnd w:id="145"/>
      <w:bookmarkEnd w:id="146"/>
    </w:p>
    <w:p w:rsidR="00A026EC" w:rsidRDefault="00A026EC" w:rsidP="00A026EC">
      <w:pPr>
        <w:pStyle w:val="BodyText"/>
      </w:pPr>
      <w:r w:rsidRPr="0029003B">
        <w:t xml:space="preserve">For further information or assistance regarding this specification, contact CAV Funded Services by emailing: </w:t>
      </w:r>
      <w:hyperlink r:id="rId14" w:history="1">
        <w:r w:rsidRPr="0029003B">
          <w:rPr>
            <w:rStyle w:val="Hyperlink"/>
          </w:rPr>
          <w:t>fundedservices@justice.vic.gov.au</w:t>
        </w:r>
      </w:hyperlink>
      <w:r w:rsidR="00076EB8" w:rsidRPr="00076EB8">
        <w:t>, using the subject line ‘CAAP query’.</w:t>
      </w:r>
    </w:p>
    <w:p w:rsidR="00A026EC" w:rsidRPr="002A5CAD" w:rsidRDefault="006C266F" w:rsidP="00A026EC">
      <w:pPr>
        <w:pStyle w:val="Heading2"/>
      </w:pPr>
      <w:bookmarkStart w:id="147" w:name="_Toc465155283"/>
      <w:bookmarkStart w:id="148" w:name="_Toc465156613"/>
      <w:bookmarkStart w:id="149" w:name="_Toc465156755"/>
      <w:bookmarkStart w:id="150" w:name="_Toc465939313"/>
      <w:bookmarkStart w:id="151" w:name="_Toc466555148"/>
      <w:bookmarkStart w:id="152" w:name="_Toc468800865"/>
      <w:r>
        <w:t>11</w:t>
      </w:r>
      <w:r w:rsidR="00A026EC">
        <w:t xml:space="preserve">. </w:t>
      </w:r>
      <w:r w:rsidR="00A026EC" w:rsidRPr="00895E65">
        <w:t xml:space="preserve">Supporting </w:t>
      </w:r>
      <w:r w:rsidR="00A026EC" w:rsidRPr="002A5CAD">
        <w:t>information</w:t>
      </w:r>
      <w:bookmarkEnd w:id="147"/>
      <w:bookmarkEnd w:id="148"/>
      <w:bookmarkEnd w:id="149"/>
      <w:bookmarkEnd w:id="150"/>
      <w:bookmarkEnd w:id="151"/>
      <w:bookmarkEnd w:id="152"/>
    </w:p>
    <w:p w:rsidR="0049046A" w:rsidRPr="00D90B6D" w:rsidRDefault="00DC4CF9" w:rsidP="0049046A">
      <w:pPr>
        <w:pStyle w:val="BodyText"/>
      </w:pPr>
      <w:hyperlink r:id="rId15" w:history="1">
        <w:r w:rsidR="0049046A" w:rsidRPr="007868CE">
          <w:rPr>
            <w:rStyle w:val="Hyperlink"/>
          </w:rPr>
          <w:t>CAAP Casework Service Delivery Model (Word, 172KB)</w:t>
        </w:r>
      </w:hyperlink>
      <w:r w:rsidR="0049046A">
        <w:t xml:space="preserve"> (</w:t>
      </w:r>
      <w:r w:rsidR="0049046A" w:rsidRPr="0089775B">
        <w:t>https://www.consumer.vic.gov.au/library/</w:t>
      </w:r>
      <w:r w:rsidR="0049046A">
        <w:t>forms</w:t>
      </w:r>
      <w:r w:rsidR="0049046A" w:rsidRPr="0089775B">
        <w:t>/clubs-and-not-for-profits/grants/</w:t>
      </w:r>
      <w:r w:rsidR="0049046A" w:rsidRPr="007868CE">
        <w:t>caap-casework-service-delivery-model-2017-21.doc</w:t>
      </w:r>
      <w:r w:rsidR="0049046A">
        <w:t>)</w:t>
      </w:r>
    </w:p>
    <w:p w:rsidR="0049046A" w:rsidRDefault="00DC4CF9" w:rsidP="0049046A">
      <w:pPr>
        <w:pStyle w:val="BodyText"/>
      </w:pPr>
      <w:hyperlink r:id="rId16" w:history="1">
        <w:r w:rsidR="0049046A" w:rsidRPr="007868CE">
          <w:rPr>
            <w:rStyle w:val="Hyperlink"/>
          </w:rPr>
          <w:t>CAAP Application Guide (Word, 58KB)</w:t>
        </w:r>
      </w:hyperlink>
      <w:r w:rsidR="0049046A">
        <w:t xml:space="preserve"> (</w:t>
      </w:r>
      <w:r w:rsidR="0049046A" w:rsidRPr="0089775B">
        <w:t>https://www.consumer.vic.gov.au/library/</w:t>
      </w:r>
      <w:r w:rsidR="0049046A">
        <w:t>forms</w:t>
      </w:r>
      <w:r w:rsidR="0049046A" w:rsidRPr="0089775B">
        <w:t>/clubs-and-not-for-profits/grants/</w:t>
      </w:r>
      <w:r w:rsidR="0049046A" w:rsidRPr="007868CE">
        <w:t>caap-appl</w:t>
      </w:r>
      <w:r w:rsidR="0049046A">
        <w:t>ication-guide-2017-21.docx)</w:t>
      </w:r>
    </w:p>
    <w:p w:rsidR="003D1BC0" w:rsidRPr="00A026EC" w:rsidRDefault="00DC4CF9" w:rsidP="0049046A">
      <w:pPr>
        <w:pStyle w:val="BodyText"/>
      </w:pPr>
      <w:hyperlink r:id="rId17" w:history="1">
        <w:r w:rsidR="0049046A" w:rsidRPr="00E23C67">
          <w:rPr>
            <w:rStyle w:val="Hyperlink"/>
          </w:rPr>
          <w:t>CAAP Application – Response to Request for Service (Word, 174KB)</w:t>
        </w:r>
      </w:hyperlink>
      <w:r w:rsidR="0049046A" w:rsidRPr="00E23C67">
        <w:t xml:space="preserve"> (https://www.consumer.vic.gov.au/library/forms/clubs-and-not-for-profits/grants/caap-application-response-to-request-for-service-2017-21.doc)</w:t>
      </w:r>
    </w:p>
    <w:sectPr w:rsidR="003D1BC0" w:rsidRPr="00A026EC" w:rsidSect="0049046A">
      <w:footerReference w:type="default" r:id="rId18"/>
      <w:footerReference w:type="first" r:id="rId19"/>
      <w:type w:val="continuous"/>
      <w:pgSz w:w="11906" w:h="16838" w:code="9"/>
      <w:pgMar w:top="993" w:right="1134" w:bottom="1134" w:left="1134"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38" w:rsidRDefault="00BE1638">
      <w:r>
        <w:separator/>
      </w:r>
    </w:p>
    <w:p w:rsidR="00BE1638" w:rsidRDefault="00BE1638"/>
  </w:endnote>
  <w:endnote w:type="continuationSeparator" w:id="0">
    <w:p w:rsidR="00BE1638" w:rsidRDefault="00BE1638">
      <w:r>
        <w:continuationSeparator/>
      </w:r>
    </w:p>
    <w:p w:rsidR="00BE1638" w:rsidRDefault="00BE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73" w:rsidRPr="006E0E13" w:rsidRDefault="00DC4CF9" w:rsidP="006E0E13">
    <w:pPr>
      <w:pStyle w:val="Footer"/>
      <w:tabs>
        <w:tab w:val="clear" w:pos="5387"/>
        <w:tab w:val="center" w:pos="4536"/>
        <w:tab w:val="right" w:pos="9638"/>
      </w:tabs>
      <w:jc w:val="right"/>
    </w:pPr>
    <w:hyperlink r:id="rId1" w:history="1">
      <w:r w:rsidR="006E0E13" w:rsidRPr="001451F5">
        <w:rPr>
          <w:sz w:val="22"/>
          <w:szCs w:val="22"/>
        </w:rPr>
        <w:t>consumer.vic.gov.au</w:t>
      </w:r>
    </w:hyperlink>
    <w:r w:rsidR="006E0E13" w:rsidRPr="001451F5">
      <w:rPr>
        <w:sz w:val="22"/>
        <w:szCs w:val="22"/>
      </w:rPr>
      <w:t>/</w:t>
    </w:r>
    <w:r w:rsidR="00B9601B">
      <w:rPr>
        <w:sz w:val="22"/>
        <w:szCs w:val="22"/>
      </w:rPr>
      <w:t>caap</w:t>
    </w:r>
    <w:r w:rsidR="006E0E13">
      <w:tab/>
    </w:r>
    <w:r w:rsidR="0079497C" w:rsidRPr="0079497C">
      <w:rPr>
        <w:sz w:val="18"/>
        <w:szCs w:val="18"/>
      </w:rPr>
      <w:t xml:space="preserve">Page </w:t>
    </w:r>
    <w:r w:rsidR="0079497C" w:rsidRPr="0079497C">
      <w:rPr>
        <w:b/>
        <w:bCs/>
        <w:sz w:val="18"/>
        <w:szCs w:val="18"/>
      </w:rPr>
      <w:fldChar w:fldCharType="begin"/>
    </w:r>
    <w:r w:rsidR="0079497C" w:rsidRPr="0079497C">
      <w:rPr>
        <w:b/>
        <w:bCs/>
        <w:sz w:val="18"/>
        <w:szCs w:val="18"/>
      </w:rPr>
      <w:instrText xml:space="preserve"> PAGE  \* Arabic  \* MERGEFORMAT </w:instrText>
    </w:r>
    <w:r w:rsidR="0079497C" w:rsidRPr="0079497C">
      <w:rPr>
        <w:b/>
        <w:bCs/>
        <w:sz w:val="18"/>
        <w:szCs w:val="18"/>
      </w:rPr>
      <w:fldChar w:fldCharType="separate"/>
    </w:r>
    <w:r>
      <w:rPr>
        <w:b/>
        <w:bCs/>
        <w:noProof/>
        <w:sz w:val="18"/>
        <w:szCs w:val="18"/>
      </w:rPr>
      <w:t>10</w:t>
    </w:r>
    <w:r w:rsidR="0079497C" w:rsidRPr="0079497C">
      <w:rPr>
        <w:b/>
        <w:bCs/>
        <w:sz w:val="18"/>
        <w:szCs w:val="18"/>
      </w:rPr>
      <w:fldChar w:fldCharType="end"/>
    </w:r>
    <w:r w:rsidR="0079497C" w:rsidRPr="0079497C">
      <w:rPr>
        <w:sz w:val="18"/>
        <w:szCs w:val="18"/>
      </w:rPr>
      <w:t xml:space="preserve"> of</w:t>
    </w:r>
    <w:r w:rsidR="0079497C">
      <w:t xml:space="preserve"> </w:t>
    </w:r>
    <w:r w:rsidR="0079497C" w:rsidRPr="0079497C">
      <w:rPr>
        <w:b/>
        <w:bCs/>
        <w:sz w:val="18"/>
        <w:szCs w:val="18"/>
      </w:rPr>
      <w:fldChar w:fldCharType="begin"/>
    </w:r>
    <w:r w:rsidR="0079497C" w:rsidRPr="0079497C">
      <w:rPr>
        <w:b/>
        <w:bCs/>
        <w:sz w:val="18"/>
        <w:szCs w:val="18"/>
      </w:rPr>
      <w:instrText xml:space="preserve"> NUMPAGES  \* Arabic  \* MERGEFORMAT </w:instrText>
    </w:r>
    <w:r w:rsidR="0079497C" w:rsidRPr="0079497C">
      <w:rPr>
        <w:b/>
        <w:bCs/>
        <w:sz w:val="18"/>
        <w:szCs w:val="18"/>
      </w:rPr>
      <w:fldChar w:fldCharType="separate"/>
    </w:r>
    <w:r>
      <w:rPr>
        <w:b/>
        <w:bCs/>
        <w:noProof/>
        <w:sz w:val="18"/>
        <w:szCs w:val="18"/>
      </w:rPr>
      <w:t>11</w:t>
    </w:r>
    <w:r w:rsidR="0079497C" w:rsidRPr="0079497C">
      <w:rPr>
        <w:b/>
        <w:bCs/>
        <w:sz w:val="18"/>
        <w:szCs w:val="18"/>
      </w:rPr>
      <w:fldChar w:fldCharType="end"/>
    </w:r>
    <w:r w:rsidR="006E0E13" w:rsidRPr="00E6786F">
      <w:rPr>
        <w:b/>
        <w:bCs/>
        <w:sz w:val="18"/>
        <w:szCs w:val="18"/>
      </w:rPr>
      <w:tab/>
    </w:r>
    <w:r w:rsidR="006E0E13" w:rsidRPr="00B6136A">
      <w:rPr>
        <w:rFonts w:cs="Helv"/>
        <w:b/>
        <w:noProof/>
        <w:color w:val="FF0000"/>
      </w:rPr>
      <w:drawing>
        <wp:inline distT="0" distB="0" distL="0" distR="0" wp14:anchorId="26C3812D" wp14:editId="353F5C3D">
          <wp:extent cx="1666875" cy="466725"/>
          <wp:effectExtent l="0" t="0" r="9525" b="9525"/>
          <wp:docPr id="7" name="Picture 7"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13" w:rsidRPr="006E0E13" w:rsidRDefault="00DC4CF9" w:rsidP="006E0E13">
    <w:pPr>
      <w:pStyle w:val="Footer"/>
      <w:tabs>
        <w:tab w:val="clear" w:pos="5387"/>
        <w:tab w:val="center" w:pos="4536"/>
        <w:tab w:val="right" w:pos="9638"/>
      </w:tabs>
      <w:jc w:val="right"/>
    </w:pPr>
    <w:hyperlink r:id="rId1" w:history="1">
      <w:r w:rsidR="006E0E13" w:rsidRPr="001451F5">
        <w:rPr>
          <w:sz w:val="22"/>
          <w:szCs w:val="22"/>
        </w:rPr>
        <w:t>consumer.vic.gov.au</w:t>
      </w:r>
    </w:hyperlink>
    <w:r w:rsidR="006E0E13" w:rsidRPr="001451F5">
      <w:rPr>
        <w:sz w:val="22"/>
        <w:szCs w:val="22"/>
      </w:rPr>
      <w:t>/</w:t>
    </w:r>
    <w:r w:rsidR="00B9601B">
      <w:rPr>
        <w:sz w:val="22"/>
        <w:szCs w:val="22"/>
      </w:rPr>
      <w:t>caap</w:t>
    </w:r>
    <w:r w:rsidR="006E0E13">
      <w:tab/>
    </w:r>
    <w:r w:rsidR="006E0E13" w:rsidRPr="00E6786F">
      <w:rPr>
        <w:b/>
        <w:bCs/>
        <w:sz w:val="18"/>
        <w:szCs w:val="18"/>
      </w:rPr>
      <w:tab/>
    </w:r>
    <w:r w:rsidR="006E0E13" w:rsidRPr="00B6136A">
      <w:rPr>
        <w:rFonts w:cs="Helv"/>
        <w:b/>
        <w:noProof/>
        <w:color w:val="FF0000"/>
      </w:rPr>
      <w:drawing>
        <wp:inline distT="0" distB="0" distL="0" distR="0" wp14:anchorId="40112516" wp14:editId="6CC88A78">
          <wp:extent cx="1666875" cy="466725"/>
          <wp:effectExtent l="0" t="0" r="9525" b="9525"/>
          <wp:docPr id="8" name="Picture 8"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510F74" w:rsidRPr="004A46ED" w:rsidRDefault="004A46ED" w:rsidP="00A818C0">
    <w:pPr>
      <w:pStyle w:val="Footer"/>
      <w:tabs>
        <w:tab w:val="clear" w:pos="10773"/>
        <w:tab w:val="right" w:pos="9638"/>
      </w:tabs>
    </w:pPr>
    <w:r>
      <w:tab/>
    </w:r>
    <w:r w:rsidR="00A818C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38" w:rsidRDefault="00BE1638">
      <w:r>
        <w:separator/>
      </w:r>
    </w:p>
    <w:p w:rsidR="00BE1638" w:rsidRDefault="00BE1638"/>
  </w:footnote>
  <w:footnote w:type="continuationSeparator" w:id="0">
    <w:p w:rsidR="00BE1638" w:rsidRDefault="00BE1638">
      <w:r>
        <w:continuationSeparator/>
      </w:r>
    </w:p>
    <w:p w:rsidR="00BE1638" w:rsidRDefault="00BE16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nsid w:val="FFFFFF89"/>
    <w:multiLevelType w:val="singleLevel"/>
    <w:tmpl w:val="7616B6FA"/>
    <w:lvl w:ilvl="0">
      <w:start w:val="1"/>
      <w:numFmt w:val="bullet"/>
      <w:pStyle w:val="ListBullet"/>
      <w:lvlText w:val=""/>
      <w:lvlJc w:val="left"/>
      <w:pPr>
        <w:ind w:left="227" w:hanging="227"/>
      </w:pPr>
      <w:rPr>
        <w:rFonts w:ascii="Symbol" w:hAnsi="Symbol" w:hint="default"/>
      </w:rPr>
    </w:lvl>
  </w:abstractNum>
  <w:abstractNum w:abstractNumId="6">
    <w:nsid w:val="30532DA7"/>
    <w:multiLevelType w:val="hybridMultilevel"/>
    <w:tmpl w:val="39027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8EB182A"/>
    <w:multiLevelType w:val="hybridMultilevel"/>
    <w:tmpl w:val="BFA0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40638F"/>
    <w:multiLevelType w:val="hybridMultilevel"/>
    <w:tmpl w:val="675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1A56E2"/>
    <w:multiLevelType w:val="hybridMultilevel"/>
    <w:tmpl w:val="7DD4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4"/>
  </w:num>
  <w:num w:numId="12">
    <w:abstractNumId w:val="8"/>
  </w:num>
  <w:num w:numId="13">
    <w:abstractNumId w:val="9"/>
  </w:num>
  <w:num w:numId="14">
    <w:abstractNumId w:val="6"/>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5388"/>
    <w:rsid w:val="00006409"/>
    <w:rsid w:val="00010E8B"/>
    <w:rsid w:val="000150F1"/>
    <w:rsid w:val="000160F0"/>
    <w:rsid w:val="000167BA"/>
    <w:rsid w:val="000168A1"/>
    <w:rsid w:val="000220CA"/>
    <w:rsid w:val="000355C2"/>
    <w:rsid w:val="00036406"/>
    <w:rsid w:val="00037895"/>
    <w:rsid w:val="000422C4"/>
    <w:rsid w:val="00043557"/>
    <w:rsid w:val="00046307"/>
    <w:rsid w:val="0005028B"/>
    <w:rsid w:val="0005581F"/>
    <w:rsid w:val="00056795"/>
    <w:rsid w:val="00056A2B"/>
    <w:rsid w:val="00056F69"/>
    <w:rsid w:val="0006154A"/>
    <w:rsid w:val="0006239C"/>
    <w:rsid w:val="0006318E"/>
    <w:rsid w:val="00066F81"/>
    <w:rsid w:val="00067AA8"/>
    <w:rsid w:val="0007437B"/>
    <w:rsid w:val="00076EB8"/>
    <w:rsid w:val="0008023F"/>
    <w:rsid w:val="00080E8C"/>
    <w:rsid w:val="00081FAA"/>
    <w:rsid w:val="00085AFF"/>
    <w:rsid w:val="000862CA"/>
    <w:rsid w:val="00096EA8"/>
    <w:rsid w:val="000A05C2"/>
    <w:rsid w:val="000A1E6A"/>
    <w:rsid w:val="000A232D"/>
    <w:rsid w:val="000A280C"/>
    <w:rsid w:val="000A4445"/>
    <w:rsid w:val="000A5E17"/>
    <w:rsid w:val="000A6C1A"/>
    <w:rsid w:val="000B00CF"/>
    <w:rsid w:val="000B4BED"/>
    <w:rsid w:val="000B5EDC"/>
    <w:rsid w:val="000B65D4"/>
    <w:rsid w:val="000B7347"/>
    <w:rsid w:val="000B7E4C"/>
    <w:rsid w:val="000C2798"/>
    <w:rsid w:val="000C3171"/>
    <w:rsid w:val="000C5903"/>
    <w:rsid w:val="000C620E"/>
    <w:rsid w:val="000C7A60"/>
    <w:rsid w:val="000D780B"/>
    <w:rsid w:val="000D7EA7"/>
    <w:rsid w:val="000E0C11"/>
    <w:rsid w:val="000E2C64"/>
    <w:rsid w:val="000E3132"/>
    <w:rsid w:val="000E3EE0"/>
    <w:rsid w:val="000E5829"/>
    <w:rsid w:val="000E69CF"/>
    <w:rsid w:val="001011A2"/>
    <w:rsid w:val="001026AF"/>
    <w:rsid w:val="00103A0B"/>
    <w:rsid w:val="00106914"/>
    <w:rsid w:val="00112601"/>
    <w:rsid w:val="0011355C"/>
    <w:rsid w:val="001161C4"/>
    <w:rsid w:val="0012093B"/>
    <w:rsid w:val="00121599"/>
    <w:rsid w:val="0012684E"/>
    <w:rsid w:val="00126958"/>
    <w:rsid w:val="00127028"/>
    <w:rsid w:val="00130354"/>
    <w:rsid w:val="0013045E"/>
    <w:rsid w:val="0013188A"/>
    <w:rsid w:val="00134668"/>
    <w:rsid w:val="001362C5"/>
    <w:rsid w:val="001418A3"/>
    <w:rsid w:val="001424CD"/>
    <w:rsid w:val="00142C70"/>
    <w:rsid w:val="00143750"/>
    <w:rsid w:val="001438EB"/>
    <w:rsid w:val="001451F5"/>
    <w:rsid w:val="00151CDA"/>
    <w:rsid w:val="00151FFF"/>
    <w:rsid w:val="001530A6"/>
    <w:rsid w:val="00155054"/>
    <w:rsid w:val="0016060A"/>
    <w:rsid w:val="001606D2"/>
    <w:rsid w:val="00161467"/>
    <w:rsid w:val="0016458D"/>
    <w:rsid w:val="00165E75"/>
    <w:rsid w:val="00167AA0"/>
    <w:rsid w:val="0017595D"/>
    <w:rsid w:val="00175B1C"/>
    <w:rsid w:val="00176A29"/>
    <w:rsid w:val="00177D4C"/>
    <w:rsid w:val="0018434F"/>
    <w:rsid w:val="00185BEB"/>
    <w:rsid w:val="0019230E"/>
    <w:rsid w:val="00193C70"/>
    <w:rsid w:val="0019654D"/>
    <w:rsid w:val="001A277F"/>
    <w:rsid w:val="001A77B0"/>
    <w:rsid w:val="001B44A6"/>
    <w:rsid w:val="001B47B8"/>
    <w:rsid w:val="001B5F47"/>
    <w:rsid w:val="001C0C14"/>
    <w:rsid w:val="001C48D7"/>
    <w:rsid w:val="001C78EE"/>
    <w:rsid w:val="001D2FE7"/>
    <w:rsid w:val="001D3358"/>
    <w:rsid w:val="001D5AC2"/>
    <w:rsid w:val="001E2177"/>
    <w:rsid w:val="001E59E9"/>
    <w:rsid w:val="001E6366"/>
    <w:rsid w:val="001E746B"/>
    <w:rsid w:val="001F1F8E"/>
    <w:rsid w:val="001F260E"/>
    <w:rsid w:val="001F7271"/>
    <w:rsid w:val="001F774C"/>
    <w:rsid w:val="0020362C"/>
    <w:rsid w:val="002042E6"/>
    <w:rsid w:val="002130E8"/>
    <w:rsid w:val="00213B65"/>
    <w:rsid w:val="00217211"/>
    <w:rsid w:val="0022011C"/>
    <w:rsid w:val="00220917"/>
    <w:rsid w:val="00220BFA"/>
    <w:rsid w:val="00222C13"/>
    <w:rsid w:val="00226D33"/>
    <w:rsid w:val="00230BBE"/>
    <w:rsid w:val="002325A7"/>
    <w:rsid w:val="00233F44"/>
    <w:rsid w:val="002374F4"/>
    <w:rsid w:val="0024319C"/>
    <w:rsid w:val="0024452E"/>
    <w:rsid w:val="00245921"/>
    <w:rsid w:val="00245CB9"/>
    <w:rsid w:val="00250A4D"/>
    <w:rsid w:val="00251536"/>
    <w:rsid w:val="00254903"/>
    <w:rsid w:val="00254AB9"/>
    <w:rsid w:val="0026293D"/>
    <w:rsid w:val="0026293E"/>
    <w:rsid w:val="0026346A"/>
    <w:rsid w:val="002645FC"/>
    <w:rsid w:val="002660A7"/>
    <w:rsid w:val="00272803"/>
    <w:rsid w:val="002749A3"/>
    <w:rsid w:val="00275B66"/>
    <w:rsid w:val="00275ECB"/>
    <w:rsid w:val="00276618"/>
    <w:rsid w:val="00277089"/>
    <w:rsid w:val="00277347"/>
    <w:rsid w:val="002778E8"/>
    <w:rsid w:val="00277DCB"/>
    <w:rsid w:val="00282E06"/>
    <w:rsid w:val="00285E9F"/>
    <w:rsid w:val="002867A9"/>
    <w:rsid w:val="0028766F"/>
    <w:rsid w:val="0029246A"/>
    <w:rsid w:val="00292A69"/>
    <w:rsid w:val="00294C52"/>
    <w:rsid w:val="002A1F82"/>
    <w:rsid w:val="002A2A8C"/>
    <w:rsid w:val="002B0278"/>
    <w:rsid w:val="002B1C94"/>
    <w:rsid w:val="002B2E5A"/>
    <w:rsid w:val="002B2F0C"/>
    <w:rsid w:val="002B30F2"/>
    <w:rsid w:val="002B4410"/>
    <w:rsid w:val="002B5882"/>
    <w:rsid w:val="002C6B45"/>
    <w:rsid w:val="002C7148"/>
    <w:rsid w:val="002D243D"/>
    <w:rsid w:val="002D4DC2"/>
    <w:rsid w:val="002D51D9"/>
    <w:rsid w:val="002D78BC"/>
    <w:rsid w:val="002E02B0"/>
    <w:rsid w:val="002E0A5D"/>
    <w:rsid w:val="002E1AED"/>
    <w:rsid w:val="002E3CC7"/>
    <w:rsid w:val="002E6D76"/>
    <w:rsid w:val="002E6FD0"/>
    <w:rsid w:val="002E7161"/>
    <w:rsid w:val="002E79FA"/>
    <w:rsid w:val="002F1B76"/>
    <w:rsid w:val="002F64C1"/>
    <w:rsid w:val="002F6912"/>
    <w:rsid w:val="00300E5B"/>
    <w:rsid w:val="003035FD"/>
    <w:rsid w:val="00304C16"/>
    <w:rsid w:val="00304FA7"/>
    <w:rsid w:val="00307DEC"/>
    <w:rsid w:val="003102FE"/>
    <w:rsid w:val="00310E1D"/>
    <w:rsid w:val="00311BA5"/>
    <w:rsid w:val="00312022"/>
    <w:rsid w:val="00313DDF"/>
    <w:rsid w:val="003159F1"/>
    <w:rsid w:val="00320782"/>
    <w:rsid w:val="0032298B"/>
    <w:rsid w:val="00323759"/>
    <w:rsid w:val="0032410C"/>
    <w:rsid w:val="00324842"/>
    <w:rsid w:val="00325F2C"/>
    <w:rsid w:val="00330CC8"/>
    <w:rsid w:val="00335793"/>
    <w:rsid w:val="00336404"/>
    <w:rsid w:val="00336A96"/>
    <w:rsid w:val="00341453"/>
    <w:rsid w:val="0034343A"/>
    <w:rsid w:val="003435C6"/>
    <w:rsid w:val="00346A3D"/>
    <w:rsid w:val="00353DC2"/>
    <w:rsid w:val="003551C8"/>
    <w:rsid w:val="00355566"/>
    <w:rsid w:val="00356C19"/>
    <w:rsid w:val="00357B57"/>
    <w:rsid w:val="00365BE5"/>
    <w:rsid w:val="00370DFB"/>
    <w:rsid w:val="00372BA7"/>
    <w:rsid w:val="0037554D"/>
    <w:rsid w:val="00375E18"/>
    <w:rsid w:val="0037704E"/>
    <w:rsid w:val="00392057"/>
    <w:rsid w:val="00392140"/>
    <w:rsid w:val="00394AED"/>
    <w:rsid w:val="00396AC2"/>
    <w:rsid w:val="00397C7D"/>
    <w:rsid w:val="003A0694"/>
    <w:rsid w:val="003A13F7"/>
    <w:rsid w:val="003A2AC9"/>
    <w:rsid w:val="003A5AC7"/>
    <w:rsid w:val="003A6DFB"/>
    <w:rsid w:val="003B2B25"/>
    <w:rsid w:val="003B5495"/>
    <w:rsid w:val="003B567D"/>
    <w:rsid w:val="003B6EEB"/>
    <w:rsid w:val="003C03A6"/>
    <w:rsid w:val="003C2204"/>
    <w:rsid w:val="003C2C28"/>
    <w:rsid w:val="003C3F1B"/>
    <w:rsid w:val="003D1BC0"/>
    <w:rsid w:val="003D1C95"/>
    <w:rsid w:val="003D25A6"/>
    <w:rsid w:val="003D3103"/>
    <w:rsid w:val="003D4A4F"/>
    <w:rsid w:val="003E0B9D"/>
    <w:rsid w:val="003E544D"/>
    <w:rsid w:val="003E60DE"/>
    <w:rsid w:val="003E7037"/>
    <w:rsid w:val="003F2061"/>
    <w:rsid w:val="003F3043"/>
    <w:rsid w:val="003F3404"/>
    <w:rsid w:val="003F3BF0"/>
    <w:rsid w:val="003F5034"/>
    <w:rsid w:val="00404089"/>
    <w:rsid w:val="004067A9"/>
    <w:rsid w:val="00406892"/>
    <w:rsid w:val="004101B5"/>
    <w:rsid w:val="004115A1"/>
    <w:rsid w:val="0041515A"/>
    <w:rsid w:val="00415DF2"/>
    <w:rsid w:val="00417260"/>
    <w:rsid w:val="0042101F"/>
    <w:rsid w:val="004279FC"/>
    <w:rsid w:val="00432BFC"/>
    <w:rsid w:val="00433E01"/>
    <w:rsid w:val="00435192"/>
    <w:rsid w:val="00436138"/>
    <w:rsid w:val="004412AB"/>
    <w:rsid w:val="00443192"/>
    <w:rsid w:val="00443AE0"/>
    <w:rsid w:val="00444B97"/>
    <w:rsid w:val="00445223"/>
    <w:rsid w:val="00446BA5"/>
    <w:rsid w:val="00450CFF"/>
    <w:rsid w:val="0045121C"/>
    <w:rsid w:val="00451315"/>
    <w:rsid w:val="004564E9"/>
    <w:rsid w:val="00461AB9"/>
    <w:rsid w:val="00462315"/>
    <w:rsid w:val="00462ED7"/>
    <w:rsid w:val="004639CE"/>
    <w:rsid w:val="004660C6"/>
    <w:rsid w:val="00467231"/>
    <w:rsid w:val="00467FB0"/>
    <w:rsid w:val="00470300"/>
    <w:rsid w:val="00473E0E"/>
    <w:rsid w:val="0047769D"/>
    <w:rsid w:val="00480A40"/>
    <w:rsid w:val="004811D5"/>
    <w:rsid w:val="00482C9D"/>
    <w:rsid w:val="00483049"/>
    <w:rsid w:val="004832C7"/>
    <w:rsid w:val="00487B5C"/>
    <w:rsid w:val="0049046A"/>
    <w:rsid w:val="004908AC"/>
    <w:rsid w:val="00492753"/>
    <w:rsid w:val="00493982"/>
    <w:rsid w:val="00494230"/>
    <w:rsid w:val="004A09F3"/>
    <w:rsid w:val="004A0C32"/>
    <w:rsid w:val="004A0D0C"/>
    <w:rsid w:val="004A1175"/>
    <w:rsid w:val="004A1891"/>
    <w:rsid w:val="004A46ED"/>
    <w:rsid w:val="004A6437"/>
    <w:rsid w:val="004B244A"/>
    <w:rsid w:val="004B3730"/>
    <w:rsid w:val="004B3937"/>
    <w:rsid w:val="004B3D9D"/>
    <w:rsid w:val="004B7F87"/>
    <w:rsid w:val="004C1373"/>
    <w:rsid w:val="004C1FA9"/>
    <w:rsid w:val="004C2D1C"/>
    <w:rsid w:val="004C467F"/>
    <w:rsid w:val="004C530C"/>
    <w:rsid w:val="004C559E"/>
    <w:rsid w:val="004C5608"/>
    <w:rsid w:val="004C620C"/>
    <w:rsid w:val="004D4603"/>
    <w:rsid w:val="004E444A"/>
    <w:rsid w:val="004E486A"/>
    <w:rsid w:val="004E5C0F"/>
    <w:rsid w:val="004E5D70"/>
    <w:rsid w:val="004E7B70"/>
    <w:rsid w:val="004F1C98"/>
    <w:rsid w:val="004F2160"/>
    <w:rsid w:val="004F5654"/>
    <w:rsid w:val="00500386"/>
    <w:rsid w:val="00501F1A"/>
    <w:rsid w:val="00503C5C"/>
    <w:rsid w:val="00503E7C"/>
    <w:rsid w:val="005055F8"/>
    <w:rsid w:val="00505DF7"/>
    <w:rsid w:val="005076EB"/>
    <w:rsid w:val="00510F74"/>
    <w:rsid w:val="00512239"/>
    <w:rsid w:val="00516CB9"/>
    <w:rsid w:val="00517A0A"/>
    <w:rsid w:val="00517F6B"/>
    <w:rsid w:val="0052285C"/>
    <w:rsid w:val="00525D51"/>
    <w:rsid w:val="005268B2"/>
    <w:rsid w:val="00536FED"/>
    <w:rsid w:val="00537FF8"/>
    <w:rsid w:val="00543073"/>
    <w:rsid w:val="00547023"/>
    <w:rsid w:val="0054782B"/>
    <w:rsid w:val="00552BA8"/>
    <w:rsid w:val="00554168"/>
    <w:rsid w:val="005545CA"/>
    <w:rsid w:val="00555A28"/>
    <w:rsid w:val="00562A61"/>
    <w:rsid w:val="00562BA1"/>
    <w:rsid w:val="00564978"/>
    <w:rsid w:val="00564C64"/>
    <w:rsid w:val="00564F67"/>
    <w:rsid w:val="0056718C"/>
    <w:rsid w:val="00574FF7"/>
    <w:rsid w:val="005755C6"/>
    <w:rsid w:val="005768A4"/>
    <w:rsid w:val="00577013"/>
    <w:rsid w:val="00580C9E"/>
    <w:rsid w:val="00581D61"/>
    <w:rsid w:val="00583950"/>
    <w:rsid w:val="00583BBB"/>
    <w:rsid w:val="00587D1A"/>
    <w:rsid w:val="0059064C"/>
    <w:rsid w:val="00591D58"/>
    <w:rsid w:val="00592270"/>
    <w:rsid w:val="00595524"/>
    <w:rsid w:val="00595EF6"/>
    <w:rsid w:val="005A1056"/>
    <w:rsid w:val="005A19DC"/>
    <w:rsid w:val="005A2426"/>
    <w:rsid w:val="005A4BDE"/>
    <w:rsid w:val="005B02D1"/>
    <w:rsid w:val="005B6073"/>
    <w:rsid w:val="005B7F0A"/>
    <w:rsid w:val="005C26AA"/>
    <w:rsid w:val="005C4493"/>
    <w:rsid w:val="005C4D70"/>
    <w:rsid w:val="005C71EE"/>
    <w:rsid w:val="005C7735"/>
    <w:rsid w:val="005D0060"/>
    <w:rsid w:val="005D2B92"/>
    <w:rsid w:val="005D58A5"/>
    <w:rsid w:val="005D7242"/>
    <w:rsid w:val="005E2A83"/>
    <w:rsid w:val="005E3D71"/>
    <w:rsid w:val="005E7960"/>
    <w:rsid w:val="005F4E94"/>
    <w:rsid w:val="005F5DC6"/>
    <w:rsid w:val="006013E6"/>
    <w:rsid w:val="00602362"/>
    <w:rsid w:val="00602919"/>
    <w:rsid w:val="00605174"/>
    <w:rsid w:val="006059E2"/>
    <w:rsid w:val="00605FDC"/>
    <w:rsid w:val="0061180A"/>
    <w:rsid w:val="006130D5"/>
    <w:rsid w:val="00613109"/>
    <w:rsid w:val="00613C8D"/>
    <w:rsid w:val="00615BBC"/>
    <w:rsid w:val="006226DE"/>
    <w:rsid w:val="00624AEA"/>
    <w:rsid w:val="00625B7E"/>
    <w:rsid w:val="006309FD"/>
    <w:rsid w:val="00633D9F"/>
    <w:rsid w:val="0063487D"/>
    <w:rsid w:val="006352BF"/>
    <w:rsid w:val="0064432F"/>
    <w:rsid w:val="00644B7A"/>
    <w:rsid w:val="0064693A"/>
    <w:rsid w:val="00650FA9"/>
    <w:rsid w:val="00653F9F"/>
    <w:rsid w:val="00654F23"/>
    <w:rsid w:val="006556E4"/>
    <w:rsid w:val="00661680"/>
    <w:rsid w:val="00661DBE"/>
    <w:rsid w:val="006620EC"/>
    <w:rsid w:val="00664F4B"/>
    <w:rsid w:val="00670AFF"/>
    <w:rsid w:val="00670D90"/>
    <w:rsid w:val="00670DB8"/>
    <w:rsid w:val="0067284B"/>
    <w:rsid w:val="00675403"/>
    <w:rsid w:val="00677A37"/>
    <w:rsid w:val="00682855"/>
    <w:rsid w:val="00683199"/>
    <w:rsid w:val="00683DA8"/>
    <w:rsid w:val="006844C6"/>
    <w:rsid w:val="006848DA"/>
    <w:rsid w:val="00684D6C"/>
    <w:rsid w:val="00687286"/>
    <w:rsid w:val="006918F7"/>
    <w:rsid w:val="00692736"/>
    <w:rsid w:val="00694D21"/>
    <w:rsid w:val="006956E0"/>
    <w:rsid w:val="00695BAC"/>
    <w:rsid w:val="006B2725"/>
    <w:rsid w:val="006B46D0"/>
    <w:rsid w:val="006B4F0B"/>
    <w:rsid w:val="006B61D3"/>
    <w:rsid w:val="006C17FE"/>
    <w:rsid w:val="006C266F"/>
    <w:rsid w:val="006C350C"/>
    <w:rsid w:val="006C778C"/>
    <w:rsid w:val="006C7C7F"/>
    <w:rsid w:val="006D11AD"/>
    <w:rsid w:val="006D44B0"/>
    <w:rsid w:val="006D6636"/>
    <w:rsid w:val="006D6AFD"/>
    <w:rsid w:val="006E0A54"/>
    <w:rsid w:val="006E0E13"/>
    <w:rsid w:val="006E0F77"/>
    <w:rsid w:val="006E3FC4"/>
    <w:rsid w:val="006E5263"/>
    <w:rsid w:val="006E556F"/>
    <w:rsid w:val="006F098C"/>
    <w:rsid w:val="006F0AE0"/>
    <w:rsid w:val="006F0D9B"/>
    <w:rsid w:val="006F2D93"/>
    <w:rsid w:val="006F6AF1"/>
    <w:rsid w:val="00702FF1"/>
    <w:rsid w:val="00704578"/>
    <w:rsid w:val="007049BB"/>
    <w:rsid w:val="00706562"/>
    <w:rsid w:val="00706650"/>
    <w:rsid w:val="00712650"/>
    <w:rsid w:val="0071380D"/>
    <w:rsid w:val="007221BA"/>
    <w:rsid w:val="00723808"/>
    <w:rsid w:val="00727317"/>
    <w:rsid w:val="00733B8C"/>
    <w:rsid w:val="00736CE9"/>
    <w:rsid w:val="00737D7F"/>
    <w:rsid w:val="00741010"/>
    <w:rsid w:val="00741054"/>
    <w:rsid w:val="007416B9"/>
    <w:rsid w:val="00742B1A"/>
    <w:rsid w:val="00744044"/>
    <w:rsid w:val="0074511C"/>
    <w:rsid w:val="00745E1A"/>
    <w:rsid w:val="00746873"/>
    <w:rsid w:val="007475B3"/>
    <w:rsid w:val="00747953"/>
    <w:rsid w:val="007506AC"/>
    <w:rsid w:val="0075224F"/>
    <w:rsid w:val="00753304"/>
    <w:rsid w:val="00753D01"/>
    <w:rsid w:val="00755444"/>
    <w:rsid w:val="0075739A"/>
    <w:rsid w:val="00760229"/>
    <w:rsid w:val="00764E72"/>
    <w:rsid w:val="00764E74"/>
    <w:rsid w:val="00770F09"/>
    <w:rsid w:val="00772382"/>
    <w:rsid w:val="007729FB"/>
    <w:rsid w:val="00773CA6"/>
    <w:rsid w:val="007743C4"/>
    <w:rsid w:val="00774477"/>
    <w:rsid w:val="00774817"/>
    <w:rsid w:val="00781129"/>
    <w:rsid w:val="007846F6"/>
    <w:rsid w:val="00785B29"/>
    <w:rsid w:val="007864F0"/>
    <w:rsid w:val="00792C6D"/>
    <w:rsid w:val="00793FFD"/>
    <w:rsid w:val="0079466F"/>
    <w:rsid w:val="0079497C"/>
    <w:rsid w:val="00795A72"/>
    <w:rsid w:val="00797405"/>
    <w:rsid w:val="00797AA2"/>
    <w:rsid w:val="00797CE8"/>
    <w:rsid w:val="007A0D87"/>
    <w:rsid w:val="007A17D9"/>
    <w:rsid w:val="007A56EF"/>
    <w:rsid w:val="007A7BC8"/>
    <w:rsid w:val="007B0F3B"/>
    <w:rsid w:val="007B4E27"/>
    <w:rsid w:val="007B5EAE"/>
    <w:rsid w:val="007B6100"/>
    <w:rsid w:val="007C0316"/>
    <w:rsid w:val="007C075B"/>
    <w:rsid w:val="007C2551"/>
    <w:rsid w:val="007C6BAA"/>
    <w:rsid w:val="007D27CE"/>
    <w:rsid w:val="007D407F"/>
    <w:rsid w:val="007D4D7B"/>
    <w:rsid w:val="007E53CB"/>
    <w:rsid w:val="007E59FE"/>
    <w:rsid w:val="007F1352"/>
    <w:rsid w:val="007F4771"/>
    <w:rsid w:val="007F501C"/>
    <w:rsid w:val="00800233"/>
    <w:rsid w:val="00800C16"/>
    <w:rsid w:val="00801530"/>
    <w:rsid w:val="0080392A"/>
    <w:rsid w:val="00804FF4"/>
    <w:rsid w:val="00807551"/>
    <w:rsid w:val="0081040E"/>
    <w:rsid w:val="0081238C"/>
    <w:rsid w:val="008137A7"/>
    <w:rsid w:val="00816BA5"/>
    <w:rsid w:val="00816CC1"/>
    <w:rsid w:val="00822D88"/>
    <w:rsid w:val="00824986"/>
    <w:rsid w:val="00827BB6"/>
    <w:rsid w:val="008309B1"/>
    <w:rsid w:val="00835486"/>
    <w:rsid w:val="008427EB"/>
    <w:rsid w:val="00842E31"/>
    <w:rsid w:val="00844180"/>
    <w:rsid w:val="00844437"/>
    <w:rsid w:val="00846471"/>
    <w:rsid w:val="008464BD"/>
    <w:rsid w:val="00850C35"/>
    <w:rsid w:val="00853741"/>
    <w:rsid w:val="00853779"/>
    <w:rsid w:val="00856AFE"/>
    <w:rsid w:val="008614E6"/>
    <w:rsid w:val="00865C44"/>
    <w:rsid w:val="00867B76"/>
    <w:rsid w:val="00871FC7"/>
    <w:rsid w:val="0087225D"/>
    <w:rsid w:val="00872B40"/>
    <w:rsid w:val="00877974"/>
    <w:rsid w:val="00881665"/>
    <w:rsid w:val="00886B0E"/>
    <w:rsid w:val="00886C98"/>
    <w:rsid w:val="008913E0"/>
    <w:rsid w:val="008A4172"/>
    <w:rsid w:val="008A4880"/>
    <w:rsid w:val="008A5C9C"/>
    <w:rsid w:val="008B113A"/>
    <w:rsid w:val="008B17F9"/>
    <w:rsid w:val="008B26A1"/>
    <w:rsid w:val="008B30DD"/>
    <w:rsid w:val="008C10BE"/>
    <w:rsid w:val="008C34D2"/>
    <w:rsid w:val="008C6BEF"/>
    <w:rsid w:val="008D19E5"/>
    <w:rsid w:val="008D323B"/>
    <w:rsid w:val="008D440F"/>
    <w:rsid w:val="008E0C3F"/>
    <w:rsid w:val="008E0CFA"/>
    <w:rsid w:val="008E2696"/>
    <w:rsid w:val="008E6160"/>
    <w:rsid w:val="008E6D2D"/>
    <w:rsid w:val="008F1413"/>
    <w:rsid w:val="008F3888"/>
    <w:rsid w:val="008F6F5A"/>
    <w:rsid w:val="00900B22"/>
    <w:rsid w:val="00901425"/>
    <w:rsid w:val="0090600B"/>
    <w:rsid w:val="0091000C"/>
    <w:rsid w:val="0091004A"/>
    <w:rsid w:val="00910244"/>
    <w:rsid w:val="0091169D"/>
    <w:rsid w:val="00913492"/>
    <w:rsid w:val="00914F87"/>
    <w:rsid w:val="0091626B"/>
    <w:rsid w:val="00921A67"/>
    <w:rsid w:val="009268B0"/>
    <w:rsid w:val="00933E5F"/>
    <w:rsid w:val="00934008"/>
    <w:rsid w:val="00934545"/>
    <w:rsid w:val="009426B2"/>
    <w:rsid w:val="009432AE"/>
    <w:rsid w:val="00944F23"/>
    <w:rsid w:val="00946F7A"/>
    <w:rsid w:val="009478AE"/>
    <w:rsid w:val="00947B6C"/>
    <w:rsid w:val="00951678"/>
    <w:rsid w:val="0095498C"/>
    <w:rsid w:val="00954A66"/>
    <w:rsid w:val="009558D5"/>
    <w:rsid w:val="009602B7"/>
    <w:rsid w:val="00961E71"/>
    <w:rsid w:val="00962391"/>
    <w:rsid w:val="0096256C"/>
    <w:rsid w:val="00963A6C"/>
    <w:rsid w:val="009646FE"/>
    <w:rsid w:val="0096497D"/>
    <w:rsid w:val="0097175D"/>
    <w:rsid w:val="009735B9"/>
    <w:rsid w:val="00975676"/>
    <w:rsid w:val="0097720D"/>
    <w:rsid w:val="0098322C"/>
    <w:rsid w:val="00984372"/>
    <w:rsid w:val="0098489C"/>
    <w:rsid w:val="00992555"/>
    <w:rsid w:val="009A1F33"/>
    <w:rsid w:val="009A4F81"/>
    <w:rsid w:val="009A6CF6"/>
    <w:rsid w:val="009B0258"/>
    <w:rsid w:val="009B09A6"/>
    <w:rsid w:val="009B16E8"/>
    <w:rsid w:val="009B3688"/>
    <w:rsid w:val="009B50A6"/>
    <w:rsid w:val="009C1E63"/>
    <w:rsid w:val="009C66A6"/>
    <w:rsid w:val="009D08B5"/>
    <w:rsid w:val="009D1194"/>
    <w:rsid w:val="009D15DB"/>
    <w:rsid w:val="009D1EF5"/>
    <w:rsid w:val="009D7E9D"/>
    <w:rsid w:val="009E16F5"/>
    <w:rsid w:val="009E5BD4"/>
    <w:rsid w:val="009E618B"/>
    <w:rsid w:val="009E69E9"/>
    <w:rsid w:val="009E7072"/>
    <w:rsid w:val="009F36F7"/>
    <w:rsid w:val="009F4AF3"/>
    <w:rsid w:val="009F56F7"/>
    <w:rsid w:val="009F5922"/>
    <w:rsid w:val="009F653B"/>
    <w:rsid w:val="009F72F8"/>
    <w:rsid w:val="00A00364"/>
    <w:rsid w:val="00A01DB0"/>
    <w:rsid w:val="00A026EC"/>
    <w:rsid w:val="00A02D84"/>
    <w:rsid w:val="00A034D8"/>
    <w:rsid w:val="00A05BF1"/>
    <w:rsid w:val="00A07DC7"/>
    <w:rsid w:val="00A102EA"/>
    <w:rsid w:val="00A10AF1"/>
    <w:rsid w:val="00A11DEC"/>
    <w:rsid w:val="00A1311E"/>
    <w:rsid w:val="00A1765A"/>
    <w:rsid w:val="00A2105C"/>
    <w:rsid w:val="00A22963"/>
    <w:rsid w:val="00A2441D"/>
    <w:rsid w:val="00A24741"/>
    <w:rsid w:val="00A24A82"/>
    <w:rsid w:val="00A263DA"/>
    <w:rsid w:val="00A26E6E"/>
    <w:rsid w:val="00A30BDB"/>
    <w:rsid w:val="00A31FC9"/>
    <w:rsid w:val="00A32547"/>
    <w:rsid w:val="00A32C77"/>
    <w:rsid w:val="00A33581"/>
    <w:rsid w:val="00A36738"/>
    <w:rsid w:val="00A376E9"/>
    <w:rsid w:val="00A4335A"/>
    <w:rsid w:val="00A525EA"/>
    <w:rsid w:val="00A557D3"/>
    <w:rsid w:val="00A56071"/>
    <w:rsid w:val="00A62E3F"/>
    <w:rsid w:val="00A66A43"/>
    <w:rsid w:val="00A75811"/>
    <w:rsid w:val="00A776E7"/>
    <w:rsid w:val="00A81024"/>
    <w:rsid w:val="00A818C0"/>
    <w:rsid w:val="00A82530"/>
    <w:rsid w:val="00A82629"/>
    <w:rsid w:val="00A84243"/>
    <w:rsid w:val="00A8471E"/>
    <w:rsid w:val="00A86594"/>
    <w:rsid w:val="00A91F07"/>
    <w:rsid w:val="00A9332C"/>
    <w:rsid w:val="00A93CB6"/>
    <w:rsid w:val="00AA0AF0"/>
    <w:rsid w:val="00AA16A6"/>
    <w:rsid w:val="00AA2964"/>
    <w:rsid w:val="00AA43C3"/>
    <w:rsid w:val="00AA53D9"/>
    <w:rsid w:val="00AA5826"/>
    <w:rsid w:val="00AB00FC"/>
    <w:rsid w:val="00AB75A4"/>
    <w:rsid w:val="00AB7CB3"/>
    <w:rsid w:val="00AB7E0D"/>
    <w:rsid w:val="00AC0B36"/>
    <w:rsid w:val="00AC12F3"/>
    <w:rsid w:val="00AC21D5"/>
    <w:rsid w:val="00AC2C68"/>
    <w:rsid w:val="00AD16C3"/>
    <w:rsid w:val="00AD56C4"/>
    <w:rsid w:val="00AE182A"/>
    <w:rsid w:val="00AE7802"/>
    <w:rsid w:val="00AF2F9E"/>
    <w:rsid w:val="00AF7250"/>
    <w:rsid w:val="00B03AB2"/>
    <w:rsid w:val="00B03DBE"/>
    <w:rsid w:val="00B05649"/>
    <w:rsid w:val="00B05DC6"/>
    <w:rsid w:val="00B07793"/>
    <w:rsid w:val="00B07E44"/>
    <w:rsid w:val="00B10317"/>
    <w:rsid w:val="00B108C3"/>
    <w:rsid w:val="00B11ED5"/>
    <w:rsid w:val="00B130FB"/>
    <w:rsid w:val="00B13355"/>
    <w:rsid w:val="00B13AF4"/>
    <w:rsid w:val="00B17450"/>
    <w:rsid w:val="00B21294"/>
    <w:rsid w:val="00B23203"/>
    <w:rsid w:val="00B35212"/>
    <w:rsid w:val="00B41B8B"/>
    <w:rsid w:val="00B452FA"/>
    <w:rsid w:val="00B46983"/>
    <w:rsid w:val="00B5157A"/>
    <w:rsid w:val="00B54B0C"/>
    <w:rsid w:val="00B55F20"/>
    <w:rsid w:val="00B576E8"/>
    <w:rsid w:val="00B57F9A"/>
    <w:rsid w:val="00B751DB"/>
    <w:rsid w:val="00B80008"/>
    <w:rsid w:val="00B8378D"/>
    <w:rsid w:val="00B9341F"/>
    <w:rsid w:val="00B95039"/>
    <w:rsid w:val="00B9601B"/>
    <w:rsid w:val="00B96A5D"/>
    <w:rsid w:val="00B96DBC"/>
    <w:rsid w:val="00BA18FC"/>
    <w:rsid w:val="00BA1DF7"/>
    <w:rsid w:val="00BA276B"/>
    <w:rsid w:val="00BA3586"/>
    <w:rsid w:val="00BA3F4F"/>
    <w:rsid w:val="00BA6707"/>
    <w:rsid w:val="00BB04F4"/>
    <w:rsid w:val="00BB6AA7"/>
    <w:rsid w:val="00BC49B4"/>
    <w:rsid w:val="00BC7567"/>
    <w:rsid w:val="00BD021C"/>
    <w:rsid w:val="00BD17C7"/>
    <w:rsid w:val="00BD4D0E"/>
    <w:rsid w:val="00BD5638"/>
    <w:rsid w:val="00BD6B17"/>
    <w:rsid w:val="00BD6D5C"/>
    <w:rsid w:val="00BE1638"/>
    <w:rsid w:val="00BE24C5"/>
    <w:rsid w:val="00BE2F89"/>
    <w:rsid w:val="00BE415F"/>
    <w:rsid w:val="00BE7A2A"/>
    <w:rsid w:val="00BF6BB8"/>
    <w:rsid w:val="00BF72FA"/>
    <w:rsid w:val="00C03AD7"/>
    <w:rsid w:val="00C10DA5"/>
    <w:rsid w:val="00C11A0F"/>
    <w:rsid w:val="00C12F3B"/>
    <w:rsid w:val="00C131E6"/>
    <w:rsid w:val="00C20885"/>
    <w:rsid w:val="00C21DAB"/>
    <w:rsid w:val="00C226AA"/>
    <w:rsid w:val="00C2270A"/>
    <w:rsid w:val="00C24ACF"/>
    <w:rsid w:val="00C30180"/>
    <w:rsid w:val="00C3028D"/>
    <w:rsid w:val="00C3368F"/>
    <w:rsid w:val="00C3649E"/>
    <w:rsid w:val="00C4111B"/>
    <w:rsid w:val="00C43C20"/>
    <w:rsid w:val="00C47BAA"/>
    <w:rsid w:val="00C50CBD"/>
    <w:rsid w:val="00C527FB"/>
    <w:rsid w:val="00C5544C"/>
    <w:rsid w:val="00C57E44"/>
    <w:rsid w:val="00C619B4"/>
    <w:rsid w:val="00C62726"/>
    <w:rsid w:val="00C62D6C"/>
    <w:rsid w:val="00C633A4"/>
    <w:rsid w:val="00C63CFD"/>
    <w:rsid w:val="00C64C5E"/>
    <w:rsid w:val="00C65613"/>
    <w:rsid w:val="00C65A30"/>
    <w:rsid w:val="00C662B0"/>
    <w:rsid w:val="00C70279"/>
    <w:rsid w:val="00C7114D"/>
    <w:rsid w:val="00C72F8F"/>
    <w:rsid w:val="00C7603B"/>
    <w:rsid w:val="00C77624"/>
    <w:rsid w:val="00C7789B"/>
    <w:rsid w:val="00C818E9"/>
    <w:rsid w:val="00C8367F"/>
    <w:rsid w:val="00C83988"/>
    <w:rsid w:val="00C94D41"/>
    <w:rsid w:val="00C95318"/>
    <w:rsid w:val="00CA31C2"/>
    <w:rsid w:val="00CA3EC4"/>
    <w:rsid w:val="00CA466D"/>
    <w:rsid w:val="00CA6ED1"/>
    <w:rsid w:val="00CA7BC0"/>
    <w:rsid w:val="00CB002E"/>
    <w:rsid w:val="00CB1234"/>
    <w:rsid w:val="00CB33D5"/>
    <w:rsid w:val="00CB60B1"/>
    <w:rsid w:val="00CB645C"/>
    <w:rsid w:val="00CC19AE"/>
    <w:rsid w:val="00CC208B"/>
    <w:rsid w:val="00CC4523"/>
    <w:rsid w:val="00CC55AA"/>
    <w:rsid w:val="00CC5819"/>
    <w:rsid w:val="00CC5FE7"/>
    <w:rsid w:val="00CD08FD"/>
    <w:rsid w:val="00CD2422"/>
    <w:rsid w:val="00CD4344"/>
    <w:rsid w:val="00CD5914"/>
    <w:rsid w:val="00CE27B8"/>
    <w:rsid w:val="00CE28D5"/>
    <w:rsid w:val="00CE3B73"/>
    <w:rsid w:val="00CE400B"/>
    <w:rsid w:val="00CE463D"/>
    <w:rsid w:val="00CE536D"/>
    <w:rsid w:val="00CF18A3"/>
    <w:rsid w:val="00CF2E0A"/>
    <w:rsid w:val="00D0054D"/>
    <w:rsid w:val="00D018FD"/>
    <w:rsid w:val="00D05068"/>
    <w:rsid w:val="00D06191"/>
    <w:rsid w:val="00D07C92"/>
    <w:rsid w:val="00D154F2"/>
    <w:rsid w:val="00D15780"/>
    <w:rsid w:val="00D16437"/>
    <w:rsid w:val="00D202B2"/>
    <w:rsid w:val="00D2596F"/>
    <w:rsid w:val="00D30F48"/>
    <w:rsid w:val="00D3321C"/>
    <w:rsid w:val="00D41AC9"/>
    <w:rsid w:val="00D46B2D"/>
    <w:rsid w:val="00D47555"/>
    <w:rsid w:val="00D4788A"/>
    <w:rsid w:val="00D50115"/>
    <w:rsid w:val="00D509BB"/>
    <w:rsid w:val="00D51B32"/>
    <w:rsid w:val="00D60211"/>
    <w:rsid w:val="00D603A8"/>
    <w:rsid w:val="00D615F7"/>
    <w:rsid w:val="00D65E18"/>
    <w:rsid w:val="00D67575"/>
    <w:rsid w:val="00D67C5E"/>
    <w:rsid w:val="00D72344"/>
    <w:rsid w:val="00D75899"/>
    <w:rsid w:val="00D8117F"/>
    <w:rsid w:val="00D81AD4"/>
    <w:rsid w:val="00D81DDB"/>
    <w:rsid w:val="00D9468D"/>
    <w:rsid w:val="00D967E3"/>
    <w:rsid w:val="00DA0C32"/>
    <w:rsid w:val="00DA2B70"/>
    <w:rsid w:val="00DA35AF"/>
    <w:rsid w:val="00DA45AA"/>
    <w:rsid w:val="00DA7F39"/>
    <w:rsid w:val="00DB05D1"/>
    <w:rsid w:val="00DB17DD"/>
    <w:rsid w:val="00DC0DDF"/>
    <w:rsid w:val="00DC4AC5"/>
    <w:rsid w:val="00DC4CF9"/>
    <w:rsid w:val="00DD1BB2"/>
    <w:rsid w:val="00DD42E6"/>
    <w:rsid w:val="00DD6969"/>
    <w:rsid w:val="00DE078C"/>
    <w:rsid w:val="00DE0DEF"/>
    <w:rsid w:val="00DE1401"/>
    <w:rsid w:val="00DE32CF"/>
    <w:rsid w:val="00DE4900"/>
    <w:rsid w:val="00DE4CAD"/>
    <w:rsid w:val="00DF296B"/>
    <w:rsid w:val="00DF2CFA"/>
    <w:rsid w:val="00DF67FF"/>
    <w:rsid w:val="00DF6A8D"/>
    <w:rsid w:val="00DF74E3"/>
    <w:rsid w:val="00DF7E44"/>
    <w:rsid w:val="00E04793"/>
    <w:rsid w:val="00E051C9"/>
    <w:rsid w:val="00E0523F"/>
    <w:rsid w:val="00E05283"/>
    <w:rsid w:val="00E072F0"/>
    <w:rsid w:val="00E107B6"/>
    <w:rsid w:val="00E12CE7"/>
    <w:rsid w:val="00E16C0A"/>
    <w:rsid w:val="00E1751F"/>
    <w:rsid w:val="00E17DA9"/>
    <w:rsid w:val="00E2016C"/>
    <w:rsid w:val="00E233C9"/>
    <w:rsid w:val="00E27DDD"/>
    <w:rsid w:val="00E314FA"/>
    <w:rsid w:val="00E36BA4"/>
    <w:rsid w:val="00E40CEE"/>
    <w:rsid w:val="00E43A9D"/>
    <w:rsid w:val="00E44574"/>
    <w:rsid w:val="00E46CCB"/>
    <w:rsid w:val="00E46E90"/>
    <w:rsid w:val="00E51439"/>
    <w:rsid w:val="00E5271B"/>
    <w:rsid w:val="00E52DC5"/>
    <w:rsid w:val="00E5366C"/>
    <w:rsid w:val="00E536D9"/>
    <w:rsid w:val="00E53BD3"/>
    <w:rsid w:val="00E61786"/>
    <w:rsid w:val="00E63E76"/>
    <w:rsid w:val="00E65E37"/>
    <w:rsid w:val="00E66840"/>
    <w:rsid w:val="00E6723A"/>
    <w:rsid w:val="00E67CEC"/>
    <w:rsid w:val="00E71499"/>
    <w:rsid w:val="00E71596"/>
    <w:rsid w:val="00E72BF8"/>
    <w:rsid w:val="00E744FF"/>
    <w:rsid w:val="00E7452C"/>
    <w:rsid w:val="00E8351E"/>
    <w:rsid w:val="00E83EEA"/>
    <w:rsid w:val="00E853B1"/>
    <w:rsid w:val="00E861D7"/>
    <w:rsid w:val="00E90604"/>
    <w:rsid w:val="00E96B2A"/>
    <w:rsid w:val="00EA1769"/>
    <w:rsid w:val="00EA3C5E"/>
    <w:rsid w:val="00EA5D65"/>
    <w:rsid w:val="00EA7919"/>
    <w:rsid w:val="00EA7EBC"/>
    <w:rsid w:val="00EB0D4C"/>
    <w:rsid w:val="00EB3B09"/>
    <w:rsid w:val="00EB4155"/>
    <w:rsid w:val="00EB5745"/>
    <w:rsid w:val="00EC169B"/>
    <w:rsid w:val="00EC33B9"/>
    <w:rsid w:val="00ED0225"/>
    <w:rsid w:val="00ED1570"/>
    <w:rsid w:val="00ED4C69"/>
    <w:rsid w:val="00ED75FC"/>
    <w:rsid w:val="00EE0EEE"/>
    <w:rsid w:val="00EE22A7"/>
    <w:rsid w:val="00EE4BD1"/>
    <w:rsid w:val="00EF1474"/>
    <w:rsid w:val="00EF1F03"/>
    <w:rsid w:val="00EF5595"/>
    <w:rsid w:val="00EF6050"/>
    <w:rsid w:val="00F0318E"/>
    <w:rsid w:val="00F04816"/>
    <w:rsid w:val="00F10E04"/>
    <w:rsid w:val="00F13169"/>
    <w:rsid w:val="00F16A8F"/>
    <w:rsid w:val="00F20314"/>
    <w:rsid w:val="00F30BF8"/>
    <w:rsid w:val="00F3148B"/>
    <w:rsid w:val="00F31C9A"/>
    <w:rsid w:val="00F33875"/>
    <w:rsid w:val="00F34AA1"/>
    <w:rsid w:val="00F371B4"/>
    <w:rsid w:val="00F4266E"/>
    <w:rsid w:val="00F47858"/>
    <w:rsid w:val="00F55152"/>
    <w:rsid w:val="00F56411"/>
    <w:rsid w:val="00F56FF2"/>
    <w:rsid w:val="00F5790C"/>
    <w:rsid w:val="00F57CEE"/>
    <w:rsid w:val="00F602CD"/>
    <w:rsid w:val="00F60BAC"/>
    <w:rsid w:val="00F61475"/>
    <w:rsid w:val="00F6220F"/>
    <w:rsid w:val="00F6324D"/>
    <w:rsid w:val="00F6581A"/>
    <w:rsid w:val="00F729F9"/>
    <w:rsid w:val="00F73E82"/>
    <w:rsid w:val="00F7770B"/>
    <w:rsid w:val="00F8537A"/>
    <w:rsid w:val="00F8725F"/>
    <w:rsid w:val="00F90860"/>
    <w:rsid w:val="00F91572"/>
    <w:rsid w:val="00F91DF9"/>
    <w:rsid w:val="00F92675"/>
    <w:rsid w:val="00F969DD"/>
    <w:rsid w:val="00FA20C1"/>
    <w:rsid w:val="00FA20FA"/>
    <w:rsid w:val="00FA2E53"/>
    <w:rsid w:val="00FA4E24"/>
    <w:rsid w:val="00FA4E4A"/>
    <w:rsid w:val="00FB4FB3"/>
    <w:rsid w:val="00FB581A"/>
    <w:rsid w:val="00FB66E7"/>
    <w:rsid w:val="00FC1723"/>
    <w:rsid w:val="00FC207F"/>
    <w:rsid w:val="00FC365F"/>
    <w:rsid w:val="00FC5AF4"/>
    <w:rsid w:val="00FC74E0"/>
    <w:rsid w:val="00FD22A0"/>
    <w:rsid w:val="00FD2A88"/>
    <w:rsid w:val="00FD414B"/>
    <w:rsid w:val="00FD65C8"/>
    <w:rsid w:val="00FE0FFD"/>
    <w:rsid w:val="00FE1487"/>
    <w:rsid w:val="00FE5470"/>
    <w:rsid w:val="00FE7083"/>
    <w:rsid w:val="00FF0373"/>
    <w:rsid w:val="00FF2169"/>
    <w:rsid w:val="00FF275B"/>
    <w:rsid w:val="00FF3244"/>
    <w:rsid w:val="00FF5057"/>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lsdException w:name="heading 1" w:uiPriority="2" w:qFormat="1"/>
    <w:lsdException w:name="heading 2" w:uiPriority="2" w:qFormat="1"/>
    <w:lsdException w:name="heading 3" w:uiPriority="2" w:qFormat="1"/>
    <w:lsdException w:name="heading 4" w:uiPriority="6"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99"/>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272803"/>
    <w:rPr>
      <w:rFonts w:ascii="Arial" w:hAnsi="Arial"/>
      <w:sz w:val="18"/>
      <w:szCs w:val="24"/>
    </w:rPr>
  </w:style>
  <w:style w:type="paragraph" w:styleId="Heading1">
    <w:name w:val="heading 1"/>
    <w:next w:val="BodyText"/>
    <w:link w:val="Heading1Char"/>
    <w:uiPriority w:val="2"/>
    <w:qFormat/>
    <w:rsid w:val="00984372"/>
    <w:pPr>
      <w:spacing w:after="240"/>
      <w:outlineLvl w:val="0"/>
    </w:pPr>
    <w:rPr>
      <w:rFonts w:ascii="Arial" w:hAnsi="Arial" w:cs="Arial"/>
      <w:b/>
      <w:bCs/>
      <w:sz w:val="52"/>
      <w:szCs w:val="36"/>
    </w:rPr>
  </w:style>
  <w:style w:type="paragraph" w:styleId="Heading2">
    <w:name w:val="heading 2"/>
    <w:next w:val="BodyText"/>
    <w:link w:val="Heading2Char"/>
    <w:uiPriority w:val="2"/>
    <w:qFormat/>
    <w:rsid w:val="00E051C9"/>
    <w:pPr>
      <w:keepNext/>
      <w:keepLines/>
      <w:suppressAutoHyphens/>
      <w:spacing w:before="300" w:after="120"/>
      <w:outlineLvl w:val="1"/>
    </w:pPr>
    <w:rPr>
      <w:rFonts w:ascii="Arial" w:hAnsi="Arial" w:cs="Arial"/>
      <w:b/>
      <w:bCs/>
      <w:color w:val="000000" w:themeColor="text1"/>
      <w:sz w:val="36"/>
      <w:szCs w:val="26"/>
    </w:rPr>
  </w:style>
  <w:style w:type="paragraph" w:styleId="Heading3">
    <w:name w:val="heading 3"/>
    <w:next w:val="BodyText"/>
    <w:link w:val="Heading3Char"/>
    <w:uiPriority w:val="2"/>
    <w:qFormat/>
    <w:rsid w:val="00D15780"/>
    <w:pPr>
      <w:keepNext/>
      <w:keepLines/>
      <w:suppressAutoHyphens/>
      <w:spacing w:before="300" w:after="120"/>
      <w:outlineLvl w:val="2"/>
    </w:pPr>
    <w:rPr>
      <w:rFonts w:ascii="Arial" w:hAnsi="Arial" w:cs="Arial"/>
      <w:b/>
      <w:bCs/>
      <w:sz w:val="32"/>
      <w:szCs w:val="24"/>
    </w:rPr>
  </w:style>
  <w:style w:type="paragraph" w:styleId="Heading4">
    <w:name w:val="heading 4"/>
    <w:next w:val="BodyText"/>
    <w:link w:val="Heading4Char"/>
    <w:uiPriority w:val="6"/>
    <w:qFormat/>
    <w:rsid w:val="00AF7250"/>
    <w:pPr>
      <w:keepNext/>
      <w:keepLines/>
      <w:suppressAutoHyphens/>
      <w:spacing w:before="300" w:after="120"/>
      <w:outlineLvl w:val="3"/>
    </w:pPr>
    <w:rPr>
      <w:rFonts w:ascii="Arial" w:hAnsi="Arial" w:cs="Arial"/>
      <w:b/>
      <w:bCs/>
      <w:sz w:val="28"/>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7E44"/>
    <w:rPr>
      <w:rFonts w:ascii="Arial" w:hAnsi="Arial"/>
      <w:color w:val="0000FF"/>
      <w:sz w:val="24"/>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E051C9"/>
    <w:rPr>
      <w:rFonts w:ascii="Arial" w:hAnsi="Arial" w:cs="Arial"/>
      <w:b/>
      <w:bCs/>
      <w:color w:val="000000" w:themeColor="text1"/>
      <w:sz w:val="36"/>
      <w:szCs w:val="26"/>
    </w:rPr>
  </w:style>
  <w:style w:type="character" w:customStyle="1" w:styleId="Heading3Char">
    <w:name w:val="Heading 3 Char"/>
    <w:link w:val="Heading3"/>
    <w:uiPriority w:val="2"/>
    <w:locked/>
    <w:rsid w:val="00D15780"/>
    <w:rPr>
      <w:rFonts w:ascii="Arial" w:hAnsi="Arial" w:cs="Arial"/>
      <w:b/>
      <w:bCs/>
      <w:sz w:val="32"/>
      <w:szCs w:val="24"/>
    </w:rPr>
  </w:style>
  <w:style w:type="character" w:customStyle="1" w:styleId="Heading4Char">
    <w:name w:val="Heading 4 Char"/>
    <w:link w:val="Heading4"/>
    <w:uiPriority w:val="6"/>
    <w:locked/>
    <w:rsid w:val="00AF7250"/>
    <w:rPr>
      <w:rFonts w:ascii="Arial" w:hAnsi="Arial" w:cs="Arial"/>
      <w:b/>
      <w:bCs/>
      <w:sz w:val="28"/>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7416B9"/>
    <w:pPr>
      <w:tabs>
        <w:tab w:val="right" w:pos="9639"/>
      </w:tabs>
      <w:suppressAutoHyphens/>
      <w:spacing w:before="60" w:after="60"/>
      <w:ind w:left="284"/>
    </w:pPr>
    <w:rPr>
      <w:rFonts w:ascii="Arial" w:hAnsi="Arial"/>
      <w:lang w:eastAsia="en-US"/>
    </w:rPr>
  </w:style>
  <w:style w:type="paragraph" w:styleId="TOC3">
    <w:name w:val="toc 3"/>
    <w:basedOn w:val="TOC2"/>
    <w:uiPriority w:val="39"/>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F5790C"/>
    <w:pPr>
      <w:tabs>
        <w:tab w:val="center" w:pos="5387"/>
        <w:tab w:val="right" w:pos="10773"/>
      </w:tabs>
      <w:suppressAutoHyphens/>
      <w:spacing w:before="200"/>
    </w:pPr>
    <w:rPr>
      <w:rFonts w:ascii="Arial" w:hAnsi="Arial" w:cs="Arial"/>
      <w:sz w:val="24"/>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984372"/>
    <w:pPr>
      <w:suppressAutoHyphens/>
      <w:spacing w:before="120" w:after="120" w:line="264" w:lineRule="auto"/>
    </w:pPr>
    <w:rPr>
      <w:rFonts w:ascii="Arial" w:hAnsi="Arial" w:cs="Arial"/>
      <w:sz w:val="24"/>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5121C"/>
    <w:pPr>
      <w:numPr>
        <w:numId w:val="4"/>
      </w:numPr>
      <w:suppressAutoHyphens/>
      <w:spacing w:before="120" w:after="120" w:line="264" w:lineRule="auto"/>
      <w:ind w:left="567"/>
    </w:pPr>
    <w:rPr>
      <w:rFonts w:ascii="Arial" w:hAnsi="Arial" w:cs="Arial"/>
      <w:sz w:val="24"/>
      <w:szCs w:val="18"/>
    </w:rPr>
  </w:style>
  <w:style w:type="paragraph" w:styleId="ListBullet2">
    <w:name w:val="List Bullet 2"/>
    <w:link w:val="ListBullet2Char"/>
    <w:uiPriority w:val="3"/>
    <w:qFormat/>
    <w:rsid w:val="00C57E44"/>
    <w:pPr>
      <w:numPr>
        <w:numId w:val="6"/>
      </w:numPr>
      <w:suppressAutoHyphens/>
      <w:spacing w:before="40" w:after="40" w:line="264" w:lineRule="auto"/>
      <w:ind w:left="907"/>
    </w:pPr>
    <w:rPr>
      <w:rFonts w:ascii="Arial" w:hAnsi="Arial"/>
      <w:sz w:val="24"/>
      <w:szCs w:val="24"/>
    </w:rPr>
  </w:style>
  <w:style w:type="paragraph" w:styleId="ListNumber">
    <w:name w:val="List Number"/>
    <w:link w:val="ListNumberChar"/>
    <w:uiPriority w:val="3"/>
    <w:rsid w:val="00844180"/>
    <w:pPr>
      <w:numPr>
        <w:numId w:val="5"/>
      </w:numPr>
      <w:spacing w:before="120" w:after="120" w:line="264" w:lineRule="auto"/>
      <w:ind w:left="680"/>
    </w:pPr>
    <w:rPr>
      <w:rFonts w:ascii="Arial" w:hAnsi="Arial"/>
      <w:sz w:val="24"/>
      <w:szCs w:val="24"/>
    </w:rPr>
  </w:style>
  <w:style w:type="paragraph" w:styleId="ListNumber2">
    <w:name w:val="List Number 2"/>
    <w:link w:val="ListNumber2Char"/>
    <w:uiPriority w:val="5"/>
    <w:rsid w:val="004D4603"/>
    <w:pPr>
      <w:numPr>
        <w:numId w:val="8"/>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9"/>
      </w:numPr>
      <w:spacing w:before="40" w:after="40" w:line="264" w:lineRule="auto"/>
      <w:ind w:left="1020" w:hanging="340"/>
    </w:pPr>
    <w:rPr>
      <w:sz w:val="20"/>
    </w:rPr>
  </w:style>
  <w:style w:type="character" w:customStyle="1" w:styleId="BodyTextChar">
    <w:name w:val="Body Text Char"/>
    <w:link w:val="BodyText"/>
    <w:rsid w:val="00984372"/>
    <w:rPr>
      <w:rFonts w:ascii="Arial" w:hAnsi="Arial" w:cs="Arial"/>
      <w:sz w:val="24"/>
      <w:szCs w:val="18"/>
    </w:rPr>
  </w:style>
  <w:style w:type="paragraph" w:styleId="BalloonText">
    <w:name w:val="Balloon Text"/>
    <w:basedOn w:val="Normal"/>
    <w:link w:val="BalloonTextChar"/>
    <w:uiPriority w:val="98"/>
    <w:semiHidden/>
    <w:rsid w:val="00DF6A8D"/>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F5790C"/>
    <w:rPr>
      <w:rFonts w:ascii="Arial" w:hAnsi="Arial" w:cs="Arial"/>
      <w:sz w:val="24"/>
      <w:szCs w:val="16"/>
    </w:rPr>
  </w:style>
  <w:style w:type="character" w:customStyle="1" w:styleId="Heading1Char">
    <w:name w:val="Heading 1 Char"/>
    <w:link w:val="Heading1"/>
    <w:uiPriority w:val="2"/>
    <w:rsid w:val="00984372"/>
    <w:rPr>
      <w:rFonts w:ascii="Arial" w:hAnsi="Arial" w:cs="Arial"/>
      <w:b/>
      <w:bCs/>
      <w:sz w:val="52"/>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5121C"/>
    <w:rPr>
      <w:rFonts w:ascii="Arial" w:hAnsi="Arial" w:cs="Arial"/>
      <w:sz w:val="24"/>
      <w:szCs w:val="18"/>
    </w:rPr>
  </w:style>
  <w:style w:type="character" w:customStyle="1" w:styleId="ListBullet2Char">
    <w:name w:val="List Bullet 2 Char"/>
    <w:link w:val="ListBullet2"/>
    <w:uiPriority w:val="3"/>
    <w:rsid w:val="00C57E44"/>
    <w:rPr>
      <w:rFonts w:ascii="Arial" w:hAnsi="Arial"/>
      <w:sz w:val="24"/>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7"/>
      </w:numPr>
      <w:spacing w:before="40" w:after="40" w:line="264" w:lineRule="auto"/>
      <w:ind w:left="1020" w:hanging="340"/>
    </w:pPr>
    <w:rPr>
      <w:sz w:val="20"/>
    </w:rPr>
  </w:style>
  <w:style w:type="character" w:customStyle="1" w:styleId="ListNumberChar">
    <w:name w:val="List Number Char"/>
    <w:link w:val="ListNumber"/>
    <w:uiPriority w:val="3"/>
    <w:rsid w:val="00844180"/>
    <w:rPr>
      <w:rFonts w:ascii="Arial" w:hAnsi="Arial"/>
      <w:sz w:val="24"/>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B130FB"/>
    <w:pPr>
      <w:tabs>
        <w:tab w:val="clear" w:pos="5387"/>
        <w:tab w:val="clear" w:pos="10773"/>
      </w:tabs>
      <w:jc w:val="center"/>
    </w:pPr>
    <w:rPr>
      <w:sz w:val="20"/>
    </w:rPr>
  </w:style>
  <w:style w:type="character" w:customStyle="1" w:styleId="FootercenteredChar">
    <w:name w:val="Footer centered Char"/>
    <w:link w:val="Footercentered"/>
    <w:uiPriority w:val="8"/>
    <w:rsid w:val="00B130FB"/>
    <w:rPr>
      <w:rFonts w:ascii="Arial" w:hAnsi="Arial" w:cs="Arial"/>
      <w:szCs w:val="16"/>
    </w:rPr>
  </w:style>
  <w:style w:type="paragraph" w:styleId="TOCHeading">
    <w:name w:val="TOC Heading"/>
    <w:basedOn w:val="Heading1"/>
    <w:next w:val="Normal"/>
    <w:uiPriority w:val="39"/>
    <w:unhideWhenUsed/>
    <w:qFormat/>
    <w:rsid w:val="00433E01"/>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ListParagraph">
    <w:name w:val="List Paragraph"/>
    <w:basedOn w:val="Normal"/>
    <w:uiPriority w:val="34"/>
    <w:qFormat/>
    <w:rsid w:val="00706562"/>
    <w:pPr>
      <w:ind w:left="720"/>
      <w:contextualSpacing/>
    </w:pPr>
    <w:rPr>
      <w:rFonts w:ascii="Times New Roman" w:hAnsi="Times New Roman"/>
      <w:sz w:val="24"/>
    </w:rPr>
  </w:style>
  <w:style w:type="paragraph" w:styleId="BodyText2">
    <w:name w:val="Body Text 2"/>
    <w:basedOn w:val="Normal"/>
    <w:link w:val="BodyText2Char"/>
    <w:uiPriority w:val="98"/>
    <w:semiHidden/>
    <w:rsid w:val="00BE415F"/>
    <w:pPr>
      <w:spacing w:after="120" w:line="480" w:lineRule="auto"/>
    </w:pPr>
  </w:style>
  <w:style w:type="character" w:customStyle="1" w:styleId="BodyText2Char">
    <w:name w:val="Body Text 2 Char"/>
    <w:basedOn w:val="DefaultParagraphFont"/>
    <w:link w:val="BodyText2"/>
    <w:uiPriority w:val="99"/>
    <w:semiHidden/>
    <w:rsid w:val="00BE415F"/>
    <w:rPr>
      <w:rFonts w:ascii="Arial" w:hAnsi="Arial"/>
      <w:sz w:val="18"/>
      <w:szCs w:val="24"/>
    </w:rPr>
  </w:style>
  <w:style w:type="numbering" w:styleId="1ai">
    <w:name w:val="Outline List 1"/>
    <w:uiPriority w:val="99"/>
    <w:unhideWhenUsed/>
    <w:rsid w:val="00BE415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9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edservices@justice.vic.gov.au" TargetMode="External"/><Relationship Id="rId13" Type="http://schemas.openxmlformats.org/officeDocument/2006/relationships/hyperlink" Target="mailto:fundedservices@justice.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mer.vic.gov.au/library/forms/clubs-and-not-for-profits/grants/caap-application-response-to-request-for-service-2017-21.doc" TargetMode="External"/><Relationship Id="rId17" Type="http://schemas.openxmlformats.org/officeDocument/2006/relationships/hyperlink" Target="https://www.consumer.vic.gov.au/library/forms/clubs-and-not-for-profits/grants/caap-application-response-to-request-for-service-2017-21.doc" TargetMode="External"/><Relationship Id="rId2" Type="http://schemas.openxmlformats.org/officeDocument/2006/relationships/numbering" Target="numbering.xml"/><Relationship Id="rId16" Type="http://schemas.openxmlformats.org/officeDocument/2006/relationships/hyperlink" Target="https://www.consumer.vic.gov.au/library/forms/clubs-and-not-for-profits/grants/caap-application-guide-2017-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library/forms/clubs-and-not-for-profits/grants/caap-application-guide-2017-21.docx)" TargetMode="External"/><Relationship Id="rId5" Type="http://schemas.openxmlformats.org/officeDocument/2006/relationships/webSettings" Target="webSettings.xml"/><Relationship Id="rId15" Type="http://schemas.openxmlformats.org/officeDocument/2006/relationships/hyperlink" Target="https://www.consumer.vic.gov.au/library/forms/clubs-and-not-for-profits/grants/caap-casework-service-delivery-model-2017-21.doc" TargetMode="External"/><Relationship Id="rId10" Type="http://schemas.openxmlformats.org/officeDocument/2006/relationships/hyperlink" Target="http://www.dhs.vic.gov.au/for-business-and-community/not-for-profit-organisations/common-funding-agre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sumer.vic.gov.au/library/forms/clubs-and-not-for-profits/grants/caap-casework-service-delivery-model-2017-21.doc" TargetMode="External"/><Relationship Id="rId14" Type="http://schemas.openxmlformats.org/officeDocument/2006/relationships/hyperlink" Target="mailto:fundedservices@justice.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6CE9-BA4E-49D0-8DB4-B27C5239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11</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CAAP Request for Service</vt:lpstr>
    </vt:vector>
  </TitlesOfParts>
  <Company/>
  <LinksUpToDate>false</LinksUpToDate>
  <CharactersWithSpaces>22648</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CAAP Request for Service</dc:title>
  <dc:subject>Grants</dc:subject>
  <dc:creator>Consumer Affairs Victoria</dc:creator>
  <cp:keywords/>
  <cp:lastModifiedBy>Daniel Craddock</cp:lastModifiedBy>
  <cp:revision>107</cp:revision>
  <cp:lastPrinted>2016-12-01T22:12:00Z</cp:lastPrinted>
  <dcterms:created xsi:type="dcterms:W3CDTF">2016-11-10T00:14:00Z</dcterms:created>
  <dcterms:modified xsi:type="dcterms:W3CDTF">2016-12-11T22:42:00Z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CD/16/560777*</vt:lpwstr>
  </property>
  <property fmtid="{D5CDD505-2E9C-101B-9397-08002B2CF9AE}" pid="4" name="TRIM_DateDue">
    <vt:lpwstr> </vt:lpwstr>
  </property>
  <property fmtid="{D5CDD505-2E9C-101B-9397-08002B2CF9AE}" pid="5" name="TRIM_Author">
    <vt:lpwstr>FORD, Alison</vt:lpwstr>
  </property>
  <property fmtid="{D5CDD505-2E9C-101B-9397-08002B2CF9AE}" pid="6" name="TRIM_Container">
    <vt:lpwstr>DG/16/64339</vt:lpwstr>
  </property>
  <property fmtid="{D5CDD505-2E9C-101B-9397-08002B2CF9AE}" pid="7" name="TRIM_Creator">
    <vt:lpwstr>FORD, Alison</vt:lpwstr>
  </property>
  <property fmtid="{D5CDD505-2E9C-101B-9397-08002B2CF9AE}" pid="8" name="TRIM_DateRegistered">
    <vt:lpwstr>10 November, 2016</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Publication - External - CAAP 2017-21 Request for service December 2016</vt:lpwstr>
  </property>
</Properties>
</file>